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606" w:rsidRDefault="003D1606" w:rsidP="003D1606">
      <w:pPr>
        <w:spacing w:line="360" w:lineRule="auto"/>
        <w:jc w:val="center"/>
        <w:rPr>
          <w:rFonts w:ascii="Times New Roman" w:hAnsi="Times New Roman" w:cs="Times New Roman"/>
          <w:b/>
          <w:color w:val="365F91" w:themeColor="accent1" w:themeShade="BF"/>
          <w:kern w:val="24"/>
          <w:sz w:val="52"/>
          <w:szCs w:val="52"/>
        </w:rPr>
      </w:pPr>
      <w:r w:rsidRPr="003D1606">
        <w:rPr>
          <w:rFonts w:ascii="Times New Roman" w:hAnsi="Times New Roman" w:cs="Times New Roman"/>
          <w:b/>
          <w:color w:val="365F91" w:themeColor="accent1" w:themeShade="BF"/>
          <w:kern w:val="24"/>
          <w:sz w:val="52"/>
          <w:szCs w:val="52"/>
        </w:rPr>
        <w:t>Master</w:t>
      </w:r>
      <w:r w:rsidR="007E04E9">
        <w:rPr>
          <w:rFonts w:ascii="Times New Roman" w:hAnsi="Times New Roman" w:cs="Times New Roman"/>
          <w:b/>
          <w:color w:val="365F91" w:themeColor="accent1" w:themeShade="BF"/>
          <w:kern w:val="24"/>
          <w:sz w:val="52"/>
          <w:szCs w:val="52"/>
        </w:rPr>
        <w:t>’s</w:t>
      </w:r>
      <w:r w:rsidRPr="003D1606">
        <w:rPr>
          <w:rFonts w:ascii="Times New Roman" w:hAnsi="Times New Roman" w:cs="Times New Roman"/>
          <w:b/>
          <w:color w:val="365F91" w:themeColor="accent1" w:themeShade="BF"/>
          <w:kern w:val="24"/>
          <w:sz w:val="52"/>
          <w:szCs w:val="52"/>
        </w:rPr>
        <w:t xml:space="preserve"> Thesis</w:t>
      </w:r>
    </w:p>
    <w:p w:rsidR="003D1606" w:rsidRPr="003D1606" w:rsidRDefault="003D1606" w:rsidP="003D1606">
      <w:pPr>
        <w:spacing w:line="360" w:lineRule="auto"/>
        <w:jc w:val="center"/>
        <w:rPr>
          <w:rFonts w:ascii="Times New Roman" w:hAnsi="Times New Roman" w:cs="Times New Roman"/>
          <w:b/>
          <w:color w:val="365F91" w:themeColor="accent1" w:themeShade="BF"/>
          <w:kern w:val="24"/>
          <w:sz w:val="52"/>
          <w:szCs w:val="52"/>
        </w:rPr>
      </w:pPr>
    </w:p>
    <w:p w:rsidR="00037BCC" w:rsidRPr="00D307FB" w:rsidRDefault="00037BCC" w:rsidP="003D1606">
      <w:pPr>
        <w:spacing w:line="360" w:lineRule="auto"/>
        <w:jc w:val="center"/>
        <w:rPr>
          <w:rFonts w:ascii="Times New Roman" w:hAnsi="Times New Roman" w:cs="Times New Roman"/>
          <w:b/>
          <w:kern w:val="24"/>
          <w:sz w:val="56"/>
          <w:szCs w:val="56"/>
        </w:rPr>
      </w:pPr>
      <w:r w:rsidRPr="00D307FB">
        <w:rPr>
          <w:rFonts w:ascii="Times New Roman" w:hAnsi="Times New Roman" w:cs="Times New Roman"/>
          <w:b/>
          <w:kern w:val="24"/>
          <w:sz w:val="56"/>
          <w:szCs w:val="56"/>
        </w:rPr>
        <w:t>Regrettable</w:t>
      </w:r>
      <w:r w:rsidR="00E25F99" w:rsidRPr="00D307FB">
        <w:rPr>
          <w:rFonts w:ascii="Times New Roman" w:hAnsi="Times New Roman" w:cs="Times New Roman"/>
          <w:b/>
          <w:kern w:val="24"/>
          <w:sz w:val="56"/>
          <w:szCs w:val="56"/>
        </w:rPr>
        <w:t xml:space="preserve"> </w:t>
      </w:r>
      <w:r w:rsidRPr="00D307FB">
        <w:rPr>
          <w:rFonts w:ascii="Times New Roman" w:hAnsi="Times New Roman" w:cs="Times New Roman"/>
          <w:b/>
          <w:kern w:val="24"/>
          <w:sz w:val="56"/>
          <w:szCs w:val="56"/>
        </w:rPr>
        <w:t>but Inevitable</w:t>
      </w:r>
      <w:r w:rsidR="00840422" w:rsidRPr="00D307FB">
        <w:rPr>
          <w:rFonts w:ascii="Times New Roman" w:hAnsi="Times New Roman" w:cs="Times New Roman"/>
          <w:b/>
          <w:kern w:val="24"/>
          <w:sz w:val="56"/>
          <w:szCs w:val="56"/>
        </w:rPr>
        <w:t>:</w:t>
      </w:r>
      <w:r w:rsidRPr="00D307FB">
        <w:rPr>
          <w:rFonts w:ascii="Times New Roman" w:hAnsi="Times New Roman" w:cs="Times New Roman"/>
          <w:b/>
          <w:kern w:val="24"/>
          <w:sz w:val="56"/>
          <w:szCs w:val="56"/>
        </w:rPr>
        <w:t xml:space="preserve"> International</w:t>
      </w:r>
      <w:r w:rsidR="007E4787" w:rsidRPr="00D307FB">
        <w:rPr>
          <w:rFonts w:ascii="Times New Roman" w:hAnsi="Times New Roman" w:cs="Times New Roman"/>
          <w:b/>
          <w:kern w:val="24"/>
          <w:sz w:val="56"/>
          <w:szCs w:val="56"/>
        </w:rPr>
        <w:t xml:space="preserve"> Human Rights</w:t>
      </w:r>
      <w:r w:rsidRPr="00D307FB">
        <w:rPr>
          <w:rFonts w:ascii="Times New Roman" w:hAnsi="Times New Roman" w:cs="Times New Roman"/>
          <w:b/>
          <w:kern w:val="24"/>
          <w:sz w:val="56"/>
          <w:szCs w:val="56"/>
        </w:rPr>
        <w:t xml:space="preserve"> law and the Forced Di</w:t>
      </w:r>
      <w:r w:rsidR="000E3FF3" w:rsidRPr="00D307FB">
        <w:rPr>
          <w:rFonts w:ascii="Times New Roman" w:hAnsi="Times New Roman" w:cs="Times New Roman"/>
          <w:b/>
          <w:kern w:val="24"/>
          <w:sz w:val="56"/>
          <w:szCs w:val="56"/>
        </w:rPr>
        <w:t>splacement of Indigenous</w:t>
      </w:r>
      <w:r w:rsidRPr="00D307FB">
        <w:rPr>
          <w:rFonts w:ascii="Times New Roman" w:hAnsi="Times New Roman" w:cs="Times New Roman"/>
          <w:b/>
          <w:kern w:val="24"/>
          <w:sz w:val="56"/>
          <w:szCs w:val="56"/>
        </w:rPr>
        <w:t xml:space="preserve"> Peoples as a result of Development Projects.</w:t>
      </w:r>
    </w:p>
    <w:p w:rsidR="00086561" w:rsidRPr="00677742" w:rsidRDefault="00086561">
      <w:pPr>
        <w:rPr>
          <w:rStyle w:val="a"/>
        </w:rPr>
      </w:pPr>
      <w:r w:rsidRPr="00677742">
        <w:rPr>
          <w:rStyle w:val="a"/>
          <w:rFonts w:cs="Aharoni"/>
          <w:b/>
          <w:color w:val="231F20"/>
          <w:spacing w:val="19"/>
          <w:sz w:val="18"/>
          <w:szCs w:val="18"/>
          <w:bdr w:val="none" w:sz="0" w:space="0" w:color="auto" w:frame="1"/>
          <w:shd w:val="clear" w:color="auto" w:fill="FFFFFF"/>
        </w:rPr>
        <w:br w:type="page"/>
      </w:r>
    </w:p>
    <w:sdt>
      <w:sdtPr>
        <w:rPr>
          <w:rFonts w:asciiTheme="minorHAnsi" w:eastAsiaTheme="minorEastAsia" w:hAnsiTheme="minorHAnsi" w:cstheme="minorBidi"/>
          <w:b w:val="0"/>
          <w:bCs w:val="0"/>
          <w:color w:val="auto"/>
          <w:sz w:val="22"/>
          <w:szCs w:val="22"/>
          <w:lang w:val="en-IE"/>
        </w:rPr>
        <w:id w:val="62422521"/>
        <w:docPartObj>
          <w:docPartGallery w:val="Table of Contents"/>
          <w:docPartUnique/>
        </w:docPartObj>
      </w:sdtPr>
      <w:sdtEndPr>
        <w:rPr>
          <w:rFonts w:ascii="Times New Roman" w:hAnsi="Times New Roman" w:cs="Times New Roman"/>
          <w:sz w:val="24"/>
          <w:szCs w:val="24"/>
        </w:rPr>
      </w:sdtEndPr>
      <w:sdtContent>
        <w:p w:rsidR="00086561" w:rsidRDefault="00086561">
          <w:pPr>
            <w:pStyle w:val="TOCHeading"/>
          </w:pPr>
          <w:r w:rsidRPr="003D1606">
            <w:rPr>
              <w:rStyle w:val="Heading1Char"/>
            </w:rPr>
            <w:t>Table of Contents</w:t>
          </w:r>
        </w:p>
        <w:p w:rsidR="00677742" w:rsidRDefault="007D698A">
          <w:pPr>
            <w:pStyle w:val="TOC1"/>
            <w:tabs>
              <w:tab w:val="right" w:leader="dot" w:pos="8301"/>
            </w:tabs>
            <w:rPr>
              <w:noProof/>
              <w:sz w:val="22"/>
            </w:rPr>
          </w:pPr>
          <w:r w:rsidRPr="00514C8F">
            <w:rPr>
              <w:rFonts w:ascii="Times New Roman" w:hAnsi="Times New Roman" w:cs="Times New Roman"/>
              <w:sz w:val="24"/>
              <w:szCs w:val="24"/>
            </w:rPr>
            <w:fldChar w:fldCharType="begin"/>
          </w:r>
          <w:r w:rsidR="00086561" w:rsidRPr="00514C8F">
            <w:rPr>
              <w:rFonts w:ascii="Times New Roman" w:hAnsi="Times New Roman" w:cs="Times New Roman"/>
              <w:sz w:val="24"/>
              <w:szCs w:val="24"/>
            </w:rPr>
            <w:instrText xml:space="preserve"> TOC \o "1-3" \h \z \u </w:instrText>
          </w:r>
          <w:r w:rsidRPr="00514C8F">
            <w:rPr>
              <w:rFonts w:ascii="Times New Roman" w:hAnsi="Times New Roman" w:cs="Times New Roman"/>
              <w:sz w:val="24"/>
              <w:szCs w:val="24"/>
            </w:rPr>
            <w:fldChar w:fldCharType="separate"/>
          </w:r>
          <w:hyperlink w:anchor="_Toc399848333" w:history="1">
            <w:r w:rsidR="00677742" w:rsidRPr="00951BC1">
              <w:rPr>
                <w:rStyle w:val="Hyperlink"/>
                <w:noProof/>
                <w:bdr w:val="none" w:sz="0" w:space="0" w:color="auto" w:frame="1"/>
                <w:shd w:val="clear" w:color="auto" w:fill="FFFFFF"/>
              </w:rPr>
              <w:t>Table of Cases</w:t>
            </w:r>
            <w:r w:rsidR="00677742">
              <w:rPr>
                <w:noProof/>
                <w:webHidden/>
              </w:rPr>
              <w:tab/>
            </w:r>
            <w:r>
              <w:rPr>
                <w:noProof/>
                <w:webHidden/>
              </w:rPr>
              <w:fldChar w:fldCharType="begin"/>
            </w:r>
            <w:r w:rsidR="00677742">
              <w:rPr>
                <w:noProof/>
                <w:webHidden/>
              </w:rPr>
              <w:instrText xml:space="preserve"> PAGEREF _Toc399848333 \h </w:instrText>
            </w:r>
            <w:r w:rsidR="00CE5BC1">
              <w:rPr>
                <w:noProof/>
              </w:rPr>
            </w:r>
            <w:r>
              <w:rPr>
                <w:noProof/>
                <w:webHidden/>
              </w:rPr>
              <w:fldChar w:fldCharType="separate"/>
            </w:r>
            <w:r w:rsidR="007721F3">
              <w:rPr>
                <w:noProof/>
                <w:webHidden/>
              </w:rPr>
              <w:t>3</w:t>
            </w:r>
            <w:r>
              <w:rPr>
                <w:noProof/>
                <w:webHidden/>
              </w:rPr>
              <w:fldChar w:fldCharType="end"/>
            </w:r>
          </w:hyperlink>
        </w:p>
        <w:p w:rsidR="00677742" w:rsidRDefault="007D698A">
          <w:pPr>
            <w:pStyle w:val="TOC1"/>
            <w:tabs>
              <w:tab w:val="right" w:leader="dot" w:pos="8301"/>
            </w:tabs>
            <w:rPr>
              <w:noProof/>
              <w:sz w:val="22"/>
            </w:rPr>
          </w:pPr>
          <w:hyperlink w:anchor="_Toc399848334" w:history="1">
            <w:r w:rsidR="00677742" w:rsidRPr="00951BC1">
              <w:rPr>
                <w:rStyle w:val="Hyperlink"/>
                <w:noProof/>
              </w:rPr>
              <w:t>Table of Statutes</w:t>
            </w:r>
            <w:r w:rsidR="00677742">
              <w:rPr>
                <w:noProof/>
                <w:webHidden/>
              </w:rPr>
              <w:tab/>
            </w:r>
            <w:r>
              <w:rPr>
                <w:noProof/>
                <w:webHidden/>
              </w:rPr>
              <w:fldChar w:fldCharType="begin"/>
            </w:r>
            <w:r w:rsidR="00677742">
              <w:rPr>
                <w:noProof/>
                <w:webHidden/>
              </w:rPr>
              <w:instrText xml:space="preserve"> PAGEREF _Toc399848334 \h </w:instrText>
            </w:r>
            <w:r w:rsidR="00CE5BC1">
              <w:rPr>
                <w:noProof/>
              </w:rPr>
            </w:r>
            <w:r>
              <w:rPr>
                <w:noProof/>
                <w:webHidden/>
              </w:rPr>
              <w:fldChar w:fldCharType="separate"/>
            </w:r>
            <w:r w:rsidR="007721F3">
              <w:rPr>
                <w:noProof/>
                <w:webHidden/>
              </w:rPr>
              <w:t>4</w:t>
            </w:r>
            <w:r>
              <w:rPr>
                <w:noProof/>
                <w:webHidden/>
              </w:rPr>
              <w:fldChar w:fldCharType="end"/>
            </w:r>
          </w:hyperlink>
        </w:p>
        <w:p w:rsidR="00677742" w:rsidRDefault="007D698A">
          <w:pPr>
            <w:pStyle w:val="TOC1"/>
            <w:tabs>
              <w:tab w:val="right" w:leader="dot" w:pos="8301"/>
            </w:tabs>
            <w:rPr>
              <w:noProof/>
              <w:sz w:val="22"/>
            </w:rPr>
          </w:pPr>
          <w:hyperlink w:anchor="_Toc399848335" w:history="1">
            <w:r w:rsidR="00677742" w:rsidRPr="00951BC1">
              <w:rPr>
                <w:rStyle w:val="Hyperlink"/>
                <w:noProof/>
                <w:bdr w:val="none" w:sz="0" w:space="0" w:color="auto" w:frame="1"/>
                <w:shd w:val="clear" w:color="auto" w:fill="FFFFFF"/>
              </w:rPr>
              <w:t>Abbreviations</w:t>
            </w:r>
            <w:r w:rsidR="00677742">
              <w:rPr>
                <w:noProof/>
                <w:webHidden/>
              </w:rPr>
              <w:tab/>
            </w:r>
            <w:r>
              <w:rPr>
                <w:noProof/>
                <w:webHidden/>
              </w:rPr>
              <w:fldChar w:fldCharType="begin"/>
            </w:r>
            <w:r w:rsidR="00677742">
              <w:rPr>
                <w:noProof/>
                <w:webHidden/>
              </w:rPr>
              <w:instrText xml:space="preserve"> PAGEREF _Toc399848335 \h </w:instrText>
            </w:r>
            <w:r w:rsidR="00CE5BC1">
              <w:rPr>
                <w:noProof/>
              </w:rPr>
            </w:r>
            <w:r>
              <w:rPr>
                <w:noProof/>
                <w:webHidden/>
              </w:rPr>
              <w:fldChar w:fldCharType="separate"/>
            </w:r>
            <w:r w:rsidR="007721F3">
              <w:rPr>
                <w:noProof/>
                <w:webHidden/>
              </w:rPr>
              <w:t>5</w:t>
            </w:r>
            <w:r>
              <w:rPr>
                <w:noProof/>
                <w:webHidden/>
              </w:rPr>
              <w:fldChar w:fldCharType="end"/>
            </w:r>
          </w:hyperlink>
        </w:p>
        <w:p w:rsidR="00677742" w:rsidRDefault="007D698A">
          <w:pPr>
            <w:pStyle w:val="TOC1"/>
            <w:tabs>
              <w:tab w:val="right" w:leader="dot" w:pos="8301"/>
            </w:tabs>
            <w:rPr>
              <w:noProof/>
              <w:sz w:val="22"/>
            </w:rPr>
          </w:pPr>
          <w:hyperlink w:anchor="_Toc399848336" w:history="1">
            <w:r w:rsidR="00677742" w:rsidRPr="00951BC1">
              <w:rPr>
                <w:rStyle w:val="Hyperlink"/>
                <w:noProof/>
                <w:bdr w:val="none" w:sz="0" w:space="0" w:color="auto" w:frame="1"/>
                <w:shd w:val="clear" w:color="auto" w:fill="FFFFFF"/>
              </w:rPr>
              <w:t>Abstract</w:t>
            </w:r>
            <w:r w:rsidR="00677742">
              <w:rPr>
                <w:noProof/>
                <w:webHidden/>
              </w:rPr>
              <w:tab/>
            </w:r>
            <w:r>
              <w:rPr>
                <w:noProof/>
                <w:webHidden/>
              </w:rPr>
              <w:fldChar w:fldCharType="begin"/>
            </w:r>
            <w:r w:rsidR="00677742">
              <w:rPr>
                <w:noProof/>
                <w:webHidden/>
              </w:rPr>
              <w:instrText xml:space="preserve"> PAGEREF _Toc399848336 \h </w:instrText>
            </w:r>
            <w:r w:rsidR="00CE5BC1">
              <w:rPr>
                <w:noProof/>
              </w:rPr>
            </w:r>
            <w:r>
              <w:rPr>
                <w:noProof/>
                <w:webHidden/>
              </w:rPr>
              <w:fldChar w:fldCharType="separate"/>
            </w:r>
            <w:r w:rsidR="007721F3">
              <w:rPr>
                <w:noProof/>
                <w:webHidden/>
              </w:rPr>
              <w:t>6</w:t>
            </w:r>
            <w:r>
              <w:rPr>
                <w:noProof/>
                <w:webHidden/>
              </w:rPr>
              <w:fldChar w:fldCharType="end"/>
            </w:r>
          </w:hyperlink>
        </w:p>
        <w:p w:rsidR="00677742" w:rsidRDefault="007D698A">
          <w:pPr>
            <w:pStyle w:val="TOC1"/>
            <w:tabs>
              <w:tab w:val="right" w:leader="dot" w:pos="8301"/>
            </w:tabs>
            <w:rPr>
              <w:noProof/>
              <w:sz w:val="22"/>
            </w:rPr>
          </w:pPr>
          <w:hyperlink w:anchor="_Toc399848337" w:history="1">
            <w:r w:rsidR="00677742" w:rsidRPr="00951BC1">
              <w:rPr>
                <w:rStyle w:val="Hyperlink"/>
                <w:noProof/>
              </w:rPr>
              <w:t>Chapter 1 - Introduction</w:t>
            </w:r>
            <w:r w:rsidR="00677742">
              <w:rPr>
                <w:noProof/>
                <w:webHidden/>
              </w:rPr>
              <w:tab/>
            </w:r>
            <w:r>
              <w:rPr>
                <w:noProof/>
                <w:webHidden/>
              </w:rPr>
              <w:fldChar w:fldCharType="begin"/>
            </w:r>
            <w:r w:rsidR="00677742">
              <w:rPr>
                <w:noProof/>
                <w:webHidden/>
              </w:rPr>
              <w:instrText xml:space="preserve"> PAGEREF _Toc399848337 \h </w:instrText>
            </w:r>
            <w:r w:rsidR="00CE5BC1">
              <w:rPr>
                <w:noProof/>
              </w:rPr>
            </w:r>
            <w:r>
              <w:rPr>
                <w:noProof/>
                <w:webHidden/>
              </w:rPr>
              <w:fldChar w:fldCharType="separate"/>
            </w:r>
            <w:r w:rsidR="007721F3">
              <w:rPr>
                <w:noProof/>
                <w:webHidden/>
              </w:rPr>
              <w:t>6</w:t>
            </w:r>
            <w:r>
              <w:rPr>
                <w:noProof/>
                <w:webHidden/>
              </w:rPr>
              <w:fldChar w:fldCharType="end"/>
            </w:r>
          </w:hyperlink>
        </w:p>
        <w:p w:rsidR="00677742" w:rsidRDefault="007D698A">
          <w:pPr>
            <w:pStyle w:val="TOC2"/>
            <w:tabs>
              <w:tab w:val="right" w:leader="dot" w:pos="8301"/>
            </w:tabs>
            <w:rPr>
              <w:noProof/>
              <w:sz w:val="22"/>
            </w:rPr>
          </w:pPr>
          <w:hyperlink w:anchor="_Toc399848338" w:history="1">
            <w:r w:rsidR="00677742" w:rsidRPr="00951BC1">
              <w:rPr>
                <w:rStyle w:val="Hyperlink"/>
                <w:noProof/>
              </w:rPr>
              <w:t>1.1 Contextual Background</w:t>
            </w:r>
            <w:r w:rsidR="00677742">
              <w:rPr>
                <w:noProof/>
                <w:webHidden/>
              </w:rPr>
              <w:tab/>
            </w:r>
            <w:r>
              <w:rPr>
                <w:noProof/>
                <w:webHidden/>
              </w:rPr>
              <w:fldChar w:fldCharType="begin"/>
            </w:r>
            <w:r w:rsidR="00677742">
              <w:rPr>
                <w:noProof/>
                <w:webHidden/>
              </w:rPr>
              <w:instrText xml:space="preserve"> PAGEREF _Toc399848338 \h </w:instrText>
            </w:r>
            <w:r w:rsidR="00CE5BC1">
              <w:rPr>
                <w:noProof/>
              </w:rPr>
            </w:r>
            <w:r>
              <w:rPr>
                <w:noProof/>
                <w:webHidden/>
              </w:rPr>
              <w:fldChar w:fldCharType="separate"/>
            </w:r>
            <w:r w:rsidR="007721F3">
              <w:rPr>
                <w:noProof/>
                <w:webHidden/>
              </w:rPr>
              <w:t>6</w:t>
            </w:r>
            <w:r>
              <w:rPr>
                <w:noProof/>
                <w:webHidden/>
              </w:rPr>
              <w:fldChar w:fldCharType="end"/>
            </w:r>
          </w:hyperlink>
        </w:p>
        <w:p w:rsidR="00677742" w:rsidRDefault="007D698A">
          <w:pPr>
            <w:pStyle w:val="TOC2"/>
            <w:tabs>
              <w:tab w:val="right" w:leader="dot" w:pos="8301"/>
            </w:tabs>
            <w:rPr>
              <w:noProof/>
              <w:sz w:val="22"/>
            </w:rPr>
          </w:pPr>
          <w:hyperlink w:anchor="_Toc399848339" w:history="1">
            <w:r w:rsidR="00677742" w:rsidRPr="00951BC1">
              <w:rPr>
                <w:rStyle w:val="Hyperlink"/>
                <w:noProof/>
              </w:rPr>
              <w:t>1.2 Research Aims and Objectives</w:t>
            </w:r>
            <w:r w:rsidR="00677742">
              <w:rPr>
                <w:noProof/>
                <w:webHidden/>
              </w:rPr>
              <w:tab/>
            </w:r>
            <w:r>
              <w:rPr>
                <w:noProof/>
                <w:webHidden/>
              </w:rPr>
              <w:fldChar w:fldCharType="begin"/>
            </w:r>
            <w:r w:rsidR="00677742">
              <w:rPr>
                <w:noProof/>
                <w:webHidden/>
              </w:rPr>
              <w:instrText xml:space="preserve"> PAGEREF _Toc399848339 \h </w:instrText>
            </w:r>
            <w:r w:rsidR="00CE5BC1">
              <w:rPr>
                <w:noProof/>
              </w:rPr>
            </w:r>
            <w:r>
              <w:rPr>
                <w:noProof/>
                <w:webHidden/>
              </w:rPr>
              <w:fldChar w:fldCharType="separate"/>
            </w:r>
            <w:r w:rsidR="007721F3">
              <w:rPr>
                <w:noProof/>
                <w:webHidden/>
              </w:rPr>
              <w:t>8</w:t>
            </w:r>
            <w:r>
              <w:rPr>
                <w:noProof/>
                <w:webHidden/>
              </w:rPr>
              <w:fldChar w:fldCharType="end"/>
            </w:r>
          </w:hyperlink>
        </w:p>
        <w:p w:rsidR="00677742" w:rsidRDefault="007D698A">
          <w:pPr>
            <w:pStyle w:val="TOC2"/>
            <w:tabs>
              <w:tab w:val="right" w:leader="dot" w:pos="8301"/>
            </w:tabs>
            <w:rPr>
              <w:noProof/>
              <w:sz w:val="22"/>
            </w:rPr>
          </w:pPr>
          <w:hyperlink w:anchor="_Toc399848340" w:history="1">
            <w:r w:rsidR="00677742" w:rsidRPr="00951BC1">
              <w:rPr>
                <w:rStyle w:val="Hyperlink"/>
                <w:noProof/>
              </w:rPr>
              <w:t>1.3 Thematic and Legal Focus</w:t>
            </w:r>
            <w:r w:rsidR="00677742">
              <w:rPr>
                <w:noProof/>
                <w:webHidden/>
              </w:rPr>
              <w:tab/>
            </w:r>
            <w:r>
              <w:rPr>
                <w:noProof/>
                <w:webHidden/>
              </w:rPr>
              <w:fldChar w:fldCharType="begin"/>
            </w:r>
            <w:r w:rsidR="00677742">
              <w:rPr>
                <w:noProof/>
                <w:webHidden/>
              </w:rPr>
              <w:instrText xml:space="preserve"> PAGEREF _Toc399848340 \h </w:instrText>
            </w:r>
            <w:r w:rsidR="00CE5BC1">
              <w:rPr>
                <w:noProof/>
              </w:rPr>
            </w:r>
            <w:r>
              <w:rPr>
                <w:noProof/>
                <w:webHidden/>
              </w:rPr>
              <w:fldChar w:fldCharType="separate"/>
            </w:r>
            <w:r w:rsidR="007721F3">
              <w:rPr>
                <w:noProof/>
                <w:webHidden/>
              </w:rPr>
              <w:t>9</w:t>
            </w:r>
            <w:r>
              <w:rPr>
                <w:noProof/>
                <w:webHidden/>
              </w:rPr>
              <w:fldChar w:fldCharType="end"/>
            </w:r>
          </w:hyperlink>
        </w:p>
        <w:p w:rsidR="00677742" w:rsidRDefault="007D698A">
          <w:pPr>
            <w:pStyle w:val="TOC2"/>
            <w:tabs>
              <w:tab w:val="right" w:leader="dot" w:pos="8301"/>
            </w:tabs>
            <w:rPr>
              <w:noProof/>
              <w:sz w:val="22"/>
            </w:rPr>
          </w:pPr>
          <w:hyperlink w:anchor="_Toc399848341" w:history="1">
            <w:r w:rsidR="00677742" w:rsidRPr="00951BC1">
              <w:rPr>
                <w:rStyle w:val="Hyperlink"/>
                <w:noProof/>
              </w:rPr>
              <w:t>1.4 Research Questions and Central Argument</w:t>
            </w:r>
            <w:r w:rsidR="00677742">
              <w:rPr>
                <w:noProof/>
                <w:webHidden/>
              </w:rPr>
              <w:tab/>
            </w:r>
            <w:r>
              <w:rPr>
                <w:noProof/>
                <w:webHidden/>
              </w:rPr>
              <w:fldChar w:fldCharType="begin"/>
            </w:r>
            <w:r w:rsidR="00677742">
              <w:rPr>
                <w:noProof/>
                <w:webHidden/>
              </w:rPr>
              <w:instrText xml:space="preserve"> PAGEREF _Toc399848341 \h </w:instrText>
            </w:r>
            <w:r w:rsidR="00CE5BC1">
              <w:rPr>
                <w:noProof/>
              </w:rPr>
            </w:r>
            <w:r>
              <w:rPr>
                <w:noProof/>
                <w:webHidden/>
              </w:rPr>
              <w:fldChar w:fldCharType="separate"/>
            </w:r>
            <w:r w:rsidR="007721F3">
              <w:rPr>
                <w:noProof/>
                <w:webHidden/>
              </w:rPr>
              <w:t>10</w:t>
            </w:r>
            <w:r>
              <w:rPr>
                <w:noProof/>
                <w:webHidden/>
              </w:rPr>
              <w:fldChar w:fldCharType="end"/>
            </w:r>
          </w:hyperlink>
        </w:p>
        <w:p w:rsidR="00677742" w:rsidRDefault="007D698A">
          <w:pPr>
            <w:pStyle w:val="TOC2"/>
            <w:tabs>
              <w:tab w:val="right" w:leader="dot" w:pos="8301"/>
            </w:tabs>
            <w:rPr>
              <w:noProof/>
              <w:sz w:val="22"/>
            </w:rPr>
          </w:pPr>
          <w:hyperlink w:anchor="_Toc399848342" w:history="1">
            <w:r w:rsidR="00677742" w:rsidRPr="00951BC1">
              <w:rPr>
                <w:rStyle w:val="Hyperlink"/>
                <w:noProof/>
                <w:kern w:val="24"/>
                <w:lang w:val="en-GB"/>
              </w:rPr>
              <w:t>1.5 Methodology</w:t>
            </w:r>
            <w:r w:rsidR="00677742">
              <w:rPr>
                <w:noProof/>
                <w:webHidden/>
              </w:rPr>
              <w:tab/>
            </w:r>
            <w:r>
              <w:rPr>
                <w:noProof/>
                <w:webHidden/>
              </w:rPr>
              <w:fldChar w:fldCharType="begin"/>
            </w:r>
            <w:r w:rsidR="00677742">
              <w:rPr>
                <w:noProof/>
                <w:webHidden/>
              </w:rPr>
              <w:instrText xml:space="preserve"> PAGEREF _Toc399848342 \h </w:instrText>
            </w:r>
            <w:r w:rsidR="00CE5BC1">
              <w:rPr>
                <w:noProof/>
              </w:rPr>
            </w:r>
            <w:r>
              <w:rPr>
                <w:noProof/>
                <w:webHidden/>
              </w:rPr>
              <w:fldChar w:fldCharType="separate"/>
            </w:r>
            <w:r w:rsidR="007721F3">
              <w:rPr>
                <w:noProof/>
                <w:webHidden/>
              </w:rPr>
              <w:t>10</w:t>
            </w:r>
            <w:r>
              <w:rPr>
                <w:noProof/>
                <w:webHidden/>
              </w:rPr>
              <w:fldChar w:fldCharType="end"/>
            </w:r>
          </w:hyperlink>
        </w:p>
        <w:p w:rsidR="00677742" w:rsidRDefault="007D698A">
          <w:pPr>
            <w:pStyle w:val="TOC2"/>
            <w:tabs>
              <w:tab w:val="right" w:leader="dot" w:pos="8301"/>
            </w:tabs>
            <w:rPr>
              <w:noProof/>
              <w:sz w:val="22"/>
            </w:rPr>
          </w:pPr>
          <w:hyperlink w:anchor="_Toc399848343" w:history="1">
            <w:r w:rsidR="00677742" w:rsidRPr="00951BC1">
              <w:rPr>
                <w:rStyle w:val="Hyperlink"/>
                <w:noProof/>
              </w:rPr>
              <w:t>1.6 Scope and limitations</w:t>
            </w:r>
            <w:r w:rsidR="00677742">
              <w:rPr>
                <w:noProof/>
                <w:webHidden/>
              </w:rPr>
              <w:tab/>
            </w:r>
            <w:r>
              <w:rPr>
                <w:noProof/>
                <w:webHidden/>
              </w:rPr>
              <w:fldChar w:fldCharType="begin"/>
            </w:r>
            <w:r w:rsidR="00677742">
              <w:rPr>
                <w:noProof/>
                <w:webHidden/>
              </w:rPr>
              <w:instrText xml:space="preserve"> PAGEREF _Toc399848343 \h </w:instrText>
            </w:r>
            <w:r w:rsidR="00CE5BC1">
              <w:rPr>
                <w:noProof/>
              </w:rPr>
            </w:r>
            <w:r>
              <w:rPr>
                <w:noProof/>
                <w:webHidden/>
              </w:rPr>
              <w:fldChar w:fldCharType="separate"/>
            </w:r>
            <w:r w:rsidR="007721F3">
              <w:rPr>
                <w:noProof/>
                <w:webHidden/>
              </w:rPr>
              <w:t>11</w:t>
            </w:r>
            <w:r>
              <w:rPr>
                <w:noProof/>
                <w:webHidden/>
              </w:rPr>
              <w:fldChar w:fldCharType="end"/>
            </w:r>
          </w:hyperlink>
        </w:p>
        <w:p w:rsidR="00677742" w:rsidRDefault="007D698A">
          <w:pPr>
            <w:pStyle w:val="TOC2"/>
            <w:tabs>
              <w:tab w:val="right" w:leader="dot" w:pos="8301"/>
            </w:tabs>
            <w:rPr>
              <w:noProof/>
              <w:sz w:val="22"/>
            </w:rPr>
          </w:pPr>
          <w:hyperlink w:anchor="_Toc399848344" w:history="1">
            <w:r w:rsidR="00677742" w:rsidRPr="00951BC1">
              <w:rPr>
                <w:rStyle w:val="Hyperlink"/>
                <w:noProof/>
              </w:rPr>
              <w:t>1.7 Thesis Structure</w:t>
            </w:r>
            <w:r w:rsidR="00677742">
              <w:rPr>
                <w:noProof/>
                <w:webHidden/>
              </w:rPr>
              <w:tab/>
            </w:r>
            <w:r>
              <w:rPr>
                <w:noProof/>
                <w:webHidden/>
              </w:rPr>
              <w:fldChar w:fldCharType="begin"/>
            </w:r>
            <w:r w:rsidR="00677742">
              <w:rPr>
                <w:noProof/>
                <w:webHidden/>
              </w:rPr>
              <w:instrText xml:space="preserve"> PAGEREF _Toc399848344 \h </w:instrText>
            </w:r>
            <w:r w:rsidR="00CE5BC1">
              <w:rPr>
                <w:noProof/>
              </w:rPr>
            </w:r>
            <w:r>
              <w:rPr>
                <w:noProof/>
                <w:webHidden/>
              </w:rPr>
              <w:fldChar w:fldCharType="separate"/>
            </w:r>
            <w:r w:rsidR="007721F3">
              <w:rPr>
                <w:noProof/>
                <w:webHidden/>
              </w:rPr>
              <w:t>12</w:t>
            </w:r>
            <w:r>
              <w:rPr>
                <w:noProof/>
                <w:webHidden/>
              </w:rPr>
              <w:fldChar w:fldCharType="end"/>
            </w:r>
          </w:hyperlink>
        </w:p>
        <w:p w:rsidR="00677742" w:rsidRDefault="007D698A">
          <w:pPr>
            <w:pStyle w:val="TOC1"/>
            <w:tabs>
              <w:tab w:val="right" w:leader="dot" w:pos="8301"/>
            </w:tabs>
            <w:rPr>
              <w:noProof/>
              <w:sz w:val="22"/>
            </w:rPr>
          </w:pPr>
          <w:hyperlink w:anchor="_Toc399848345" w:history="1">
            <w:r w:rsidR="00677742" w:rsidRPr="00951BC1">
              <w:rPr>
                <w:rStyle w:val="Hyperlink"/>
                <w:noProof/>
              </w:rPr>
              <w:t>Chapter 2 - Indigenous Peoples and Human Rights: Historical and Contemporary Context</w:t>
            </w:r>
            <w:r w:rsidR="00677742">
              <w:rPr>
                <w:noProof/>
                <w:webHidden/>
              </w:rPr>
              <w:tab/>
            </w:r>
            <w:r>
              <w:rPr>
                <w:noProof/>
                <w:webHidden/>
              </w:rPr>
              <w:fldChar w:fldCharType="begin"/>
            </w:r>
            <w:r w:rsidR="00677742">
              <w:rPr>
                <w:noProof/>
                <w:webHidden/>
              </w:rPr>
              <w:instrText xml:space="preserve"> PAGEREF _Toc399848345 \h </w:instrText>
            </w:r>
            <w:r w:rsidR="00CE5BC1">
              <w:rPr>
                <w:noProof/>
              </w:rPr>
            </w:r>
            <w:r>
              <w:rPr>
                <w:noProof/>
                <w:webHidden/>
              </w:rPr>
              <w:fldChar w:fldCharType="separate"/>
            </w:r>
            <w:r w:rsidR="007721F3">
              <w:rPr>
                <w:noProof/>
                <w:webHidden/>
              </w:rPr>
              <w:t>13</w:t>
            </w:r>
            <w:r>
              <w:rPr>
                <w:noProof/>
                <w:webHidden/>
              </w:rPr>
              <w:fldChar w:fldCharType="end"/>
            </w:r>
          </w:hyperlink>
        </w:p>
        <w:p w:rsidR="00677742" w:rsidRDefault="007D698A">
          <w:pPr>
            <w:pStyle w:val="TOC2"/>
            <w:tabs>
              <w:tab w:val="right" w:leader="dot" w:pos="8301"/>
            </w:tabs>
            <w:rPr>
              <w:noProof/>
              <w:sz w:val="22"/>
            </w:rPr>
          </w:pPr>
          <w:hyperlink w:anchor="_Toc399848346" w:history="1">
            <w:r w:rsidR="00677742" w:rsidRPr="00951BC1">
              <w:rPr>
                <w:rStyle w:val="Hyperlink"/>
                <w:noProof/>
              </w:rPr>
              <w:t>2.1 Historical Background and Definitional Issues the term Indigenous</w:t>
            </w:r>
            <w:r w:rsidR="00677742">
              <w:rPr>
                <w:noProof/>
                <w:webHidden/>
              </w:rPr>
              <w:tab/>
            </w:r>
            <w:r>
              <w:rPr>
                <w:noProof/>
                <w:webHidden/>
              </w:rPr>
              <w:fldChar w:fldCharType="begin"/>
            </w:r>
            <w:r w:rsidR="00677742">
              <w:rPr>
                <w:noProof/>
                <w:webHidden/>
              </w:rPr>
              <w:instrText xml:space="preserve"> PAGEREF _Toc399848346 \h </w:instrText>
            </w:r>
            <w:r w:rsidR="00CE5BC1">
              <w:rPr>
                <w:noProof/>
              </w:rPr>
            </w:r>
            <w:r>
              <w:rPr>
                <w:noProof/>
                <w:webHidden/>
              </w:rPr>
              <w:fldChar w:fldCharType="separate"/>
            </w:r>
            <w:r w:rsidR="007721F3">
              <w:rPr>
                <w:noProof/>
                <w:webHidden/>
              </w:rPr>
              <w:t>13</w:t>
            </w:r>
            <w:r>
              <w:rPr>
                <w:noProof/>
                <w:webHidden/>
              </w:rPr>
              <w:fldChar w:fldCharType="end"/>
            </w:r>
          </w:hyperlink>
        </w:p>
        <w:p w:rsidR="00677742" w:rsidRDefault="007D698A">
          <w:pPr>
            <w:pStyle w:val="TOC2"/>
            <w:tabs>
              <w:tab w:val="right" w:leader="dot" w:pos="8301"/>
            </w:tabs>
            <w:rPr>
              <w:noProof/>
              <w:sz w:val="22"/>
            </w:rPr>
          </w:pPr>
          <w:hyperlink w:anchor="_Toc399848347" w:history="1">
            <w:r w:rsidR="00677742" w:rsidRPr="00951BC1">
              <w:rPr>
                <w:rStyle w:val="Hyperlink"/>
                <w:rFonts w:eastAsia="Times New Roman"/>
                <w:noProof/>
              </w:rPr>
              <w:t>2.2 Indigenous Peoples and Post-Colonial Development</w:t>
            </w:r>
            <w:r w:rsidR="00677742">
              <w:rPr>
                <w:noProof/>
                <w:webHidden/>
              </w:rPr>
              <w:tab/>
            </w:r>
            <w:r>
              <w:rPr>
                <w:noProof/>
                <w:webHidden/>
              </w:rPr>
              <w:fldChar w:fldCharType="begin"/>
            </w:r>
            <w:r w:rsidR="00677742">
              <w:rPr>
                <w:noProof/>
                <w:webHidden/>
              </w:rPr>
              <w:instrText xml:space="preserve"> PAGEREF _Toc399848347 \h </w:instrText>
            </w:r>
            <w:r w:rsidR="00CE5BC1">
              <w:rPr>
                <w:noProof/>
              </w:rPr>
            </w:r>
            <w:r>
              <w:rPr>
                <w:noProof/>
                <w:webHidden/>
              </w:rPr>
              <w:fldChar w:fldCharType="separate"/>
            </w:r>
            <w:r w:rsidR="007721F3">
              <w:rPr>
                <w:noProof/>
                <w:webHidden/>
              </w:rPr>
              <w:t>16</w:t>
            </w:r>
            <w:r>
              <w:rPr>
                <w:noProof/>
                <w:webHidden/>
              </w:rPr>
              <w:fldChar w:fldCharType="end"/>
            </w:r>
          </w:hyperlink>
        </w:p>
        <w:p w:rsidR="00677742" w:rsidRDefault="007D698A">
          <w:pPr>
            <w:pStyle w:val="TOC2"/>
            <w:tabs>
              <w:tab w:val="right" w:leader="dot" w:pos="8301"/>
            </w:tabs>
            <w:rPr>
              <w:noProof/>
              <w:sz w:val="22"/>
            </w:rPr>
          </w:pPr>
          <w:hyperlink w:anchor="_Toc399848348" w:history="1">
            <w:r w:rsidR="00677742" w:rsidRPr="00951BC1">
              <w:rPr>
                <w:rStyle w:val="Hyperlink"/>
                <w:noProof/>
              </w:rPr>
              <w:t xml:space="preserve">2.3 Legal Definitions </w:t>
            </w:r>
            <w:r w:rsidR="00677742" w:rsidRPr="00951BC1">
              <w:rPr>
                <w:rStyle w:val="Hyperlink"/>
                <w:rFonts w:eastAsia="Times New Roman"/>
                <w:noProof/>
              </w:rPr>
              <w:t xml:space="preserve">and Key Characteristics Common to Global </w:t>
            </w:r>
            <w:r w:rsidR="00677742" w:rsidRPr="00951BC1">
              <w:rPr>
                <w:rStyle w:val="Hyperlink"/>
                <w:noProof/>
              </w:rPr>
              <w:t>Indigenous Cultures</w:t>
            </w:r>
            <w:r w:rsidR="00677742">
              <w:rPr>
                <w:noProof/>
                <w:webHidden/>
              </w:rPr>
              <w:tab/>
            </w:r>
            <w:r>
              <w:rPr>
                <w:noProof/>
                <w:webHidden/>
              </w:rPr>
              <w:fldChar w:fldCharType="begin"/>
            </w:r>
            <w:r w:rsidR="00677742">
              <w:rPr>
                <w:noProof/>
                <w:webHidden/>
              </w:rPr>
              <w:instrText xml:space="preserve"> PAGEREF _Toc399848348 \h </w:instrText>
            </w:r>
            <w:r w:rsidR="00CE5BC1">
              <w:rPr>
                <w:noProof/>
              </w:rPr>
            </w:r>
            <w:r>
              <w:rPr>
                <w:noProof/>
                <w:webHidden/>
              </w:rPr>
              <w:fldChar w:fldCharType="separate"/>
            </w:r>
            <w:r w:rsidR="007721F3">
              <w:rPr>
                <w:noProof/>
                <w:webHidden/>
              </w:rPr>
              <w:t>18</w:t>
            </w:r>
            <w:r>
              <w:rPr>
                <w:noProof/>
                <w:webHidden/>
              </w:rPr>
              <w:fldChar w:fldCharType="end"/>
            </w:r>
          </w:hyperlink>
        </w:p>
        <w:p w:rsidR="00677742" w:rsidRDefault="007D698A">
          <w:pPr>
            <w:pStyle w:val="TOC3"/>
            <w:tabs>
              <w:tab w:val="right" w:leader="dot" w:pos="8301"/>
            </w:tabs>
            <w:rPr>
              <w:noProof/>
              <w:sz w:val="22"/>
            </w:rPr>
          </w:pPr>
          <w:hyperlink w:anchor="_Toc399848349" w:history="1">
            <w:r w:rsidR="00677742" w:rsidRPr="00951BC1">
              <w:rPr>
                <w:rStyle w:val="Hyperlink"/>
                <w:noProof/>
              </w:rPr>
              <w:t>2.3.1 Dispossession and Displacement in the Context of Indigenous Peoples, Particularly the Displacement of Indigenous Nomadic Peoples (INPs).</w:t>
            </w:r>
            <w:r w:rsidR="00677742">
              <w:rPr>
                <w:noProof/>
                <w:webHidden/>
              </w:rPr>
              <w:tab/>
            </w:r>
            <w:r>
              <w:rPr>
                <w:noProof/>
                <w:webHidden/>
              </w:rPr>
              <w:fldChar w:fldCharType="begin"/>
            </w:r>
            <w:r w:rsidR="00677742">
              <w:rPr>
                <w:noProof/>
                <w:webHidden/>
              </w:rPr>
              <w:instrText xml:space="preserve"> PAGEREF _Toc399848349 \h </w:instrText>
            </w:r>
            <w:r w:rsidR="00CE5BC1">
              <w:rPr>
                <w:noProof/>
              </w:rPr>
            </w:r>
            <w:r>
              <w:rPr>
                <w:noProof/>
                <w:webHidden/>
              </w:rPr>
              <w:fldChar w:fldCharType="separate"/>
            </w:r>
            <w:r w:rsidR="007721F3">
              <w:rPr>
                <w:noProof/>
                <w:webHidden/>
              </w:rPr>
              <w:t>20</w:t>
            </w:r>
            <w:r>
              <w:rPr>
                <w:noProof/>
                <w:webHidden/>
              </w:rPr>
              <w:fldChar w:fldCharType="end"/>
            </w:r>
          </w:hyperlink>
        </w:p>
        <w:p w:rsidR="00677742" w:rsidRDefault="007D698A">
          <w:pPr>
            <w:pStyle w:val="TOC1"/>
            <w:tabs>
              <w:tab w:val="right" w:leader="dot" w:pos="8301"/>
            </w:tabs>
            <w:rPr>
              <w:noProof/>
              <w:sz w:val="22"/>
            </w:rPr>
          </w:pPr>
          <w:hyperlink w:anchor="_Toc399848350" w:history="1">
            <w:r w:rsidR="00677742" w:rsidRPr="00951BC1">
              <w:rPr>
                <w:rStyle w:val="Hyperlink"/>
                <w:noProof/>
              </w:rPr>
              <w:t>CHAPER 3 - The “Development Imperative” versus Indigenous Collective Rights?</w:t>
            </w:r>
            <w:r w:rsidR="00677742">
              <w:rPr>
                <w:noProof/>
                <w:webHidden/>
              </w:rPr>
              <w:tab/>
            </w:r>
            <w:r>
              <w:rPr>
                <w:noProof/>
                <w:webHidden/>
              </w:rPr>
              <w:fldChar w:fldCharType="begin"/>
            </w:r>
            <w:r w:rsidR="00677742">
              <w:rPr>
                <w:noProof/>
                <w:webHidden/>
              </w:rPr>
              <w:instrText xml:space="preserve"> PAGEREF _Toc399848350 \h </w:instrText>
            </w:r>
            <w:r w:rsidR="00CE5BC1">
              <w:rPr>
                <w:noProof/>
              </w:rPr>
            </w:r>
            <w:r>
              <w:rPr>
                <w:noProof/>
                <w:webHidden/>
              </w:rPr>
              <w:fldChar w:fldCharType="separate"/>
            </w:r>
            <w:r w:rsidR="007721F3">
              <w:rPr>
                <w:noProof/>
                <w:webHidden/>
              </w:rPr>
              <w:t>24</w:t>
            </w:r>
            <w:r>
              <w:rPr>
                <w:noProof/>
                <w:webHidden/>
              </w:rPr>
              <w:fldChar w:fldCharType="end"/>
            </w:r>
          </w:hyperlink>
        </w:p>
        <w:p w:rsidR="00677742" w:rsidRDefault="007D698A">
          <w:pPr>
            <w:pStyle w:val="TOC2"/>
            <w:tabs>
              <w:tab w:val="right" w:leader="dot" w:pos="8301"/>
            </w:tabs>
            <w:rPr>
              <w:noProof/>
              <w:sz w:val="22"/>
            </w:rPr>
          </w:pPr>
          <w:hyperlink w:anchor="_Toc399848351" w:history="1">
            <w:r w:rsidR="00677742" w:rsidRPr="00951BC1">
              <w:rPr>
                <w:rStyle w:val="Hyperlink"/>
                <w:noProof/>
              </w:rPr>
              <w:t>3.1 Indigenous Rights versus Economic Growth?</w:t>
            </w:r>
            <w:r w:rsidR="00677742">
              <w:rPr>
                <w:noProof/>
                <w:webHidden/>
              </w:rPr>
              <w:tab/>
            </w:r>
            <w:r>
              <w:rPr>
                <w:noProof/>
                <w:webHidden/>
              </w:rPr>
              <w:fldChar w:fldCharType="begin"/>
            </w:r>
            <w:r w:rsidR="00677742">
              <w:rPr>
                <w:noProof/>
                <w:webHidden/>
              </w:rPr>
              <w:instrText xml:space="preserve"> PAGEREF _Toc399848351 \h </w:instrText>
            </w:r>
            <w:r w:rsidR="00CE5BC1">
              <w:rPr>
                <w:noProof/>
              </w:rPr>
            </w:r>
            <w:r>
              <w:rPr>
                <w:noProof/>
                <w:webHidden/>
              </w:rPr>
              <w:fldChar w:fldCharType="separate"/>
            </w:r>
            <w:r w:rsidR="007721F3">
              <w:rPr>
                <w:noProof/>
                <w:webHidden/>
              </w:rPr>
              <w:t>24</w:t>
            </w:r>
            <w:r>
              <w:rPr>
                <w:noProof/>
                <w:webHidden/>
              </w:rPr>
              <w:fldChar w:fldCharType="end"/>
            </w:r>
          </w:hyperlink>
        </w:p>
        <w:p w:rsidR="00677742" w:rsidRDefault="007D698A">
          <w:pPr>
            <w:pStyle w:val="TOC3"/>
            <w:tabs>
              <w:tab w:val="right" w:leader="dot" w:pos="8301"/>
            </w:tabs>
            <w:rPr>
              <w:noProof/>
              <w:sz w:val="22"/>
            </w:rPr>
          </w:pPr>
          <w:hyperlink w:anchor="_Toc399848352" w:history="1">
            <w:r w:rsidR="00677742" w:rsidRPr="00951BC1">
              <w:rPr>
                <w:rStyle w:val="Hyperlink"/>
                <w:noProof/>
              </w:rPr>
              <w:t>3.1.1 What is meant by the “Development Imperative”?</w:t>
            </w:r>
            <w:r w:rsidR="00677742">
              <w:rPr>
                <w:noProof/>
                <w:webHidden/>
              </w:rPr>
              <w:tab/>
            </w:r>
            <w:r>
              <w:rPr>
                <w:noProof/>
                <w:webHidden/>
              </w:rPr>
              <w:fldChar w:fldCharType="begin"/>
            </w:r>
            <w:r w:rsidR="00677742">
              <w:rPr>
                <w:noProof/>
                <w:webHidden/>
              </w:rPr>
              <w:instrText xml:space="preserve"> PAGEREF _Toc399848352 \h </w:instrText>
            </w:r>
            <w:r w:rsidR="00CE5BC1">
              <w:rPr>
                <w:noProof/>
              </w:rPr>
            </w:r>
            <w:r>
              <w:rPr>
                <w:noProof/>
                <w:webHidden/>
              </w:rPr>
              <w:fldChar w:fldCharType="separate"/>
            </w:r>
            <w:r w:rsidR="007721F3">
              <w:rPr>
                <w:noProof/>
                <w:webHidden/>
              </w:rPr>
              <w:t>24</w:t>
            </w:r>
            <w:r>
              <w:rPr>
                <w:noProof/>
                <w:webHidden/>
              </w:rPr>
              <w:fldChar w:fldCharType="end"/>
            </w:r>
          </w:hyperlink>
        </w:p>
        <w:p w:rsidR="00677742" w:rsidRDefault="007D698A">
          <w:pPr>
            <w:pStyle w:val="TOC2"/>
            <w:tabs>
              <w:tab w:val="right" w:leader="dot" w:pos="8301"/>
            </w:tabs>
            <w:rPr>
              <w:noProof/>
              <w:sz w:val="22"/>
            </w:rPr>
          </w:pPr>
          <w:hyperlink w:anchor="_Toc399848353" w:history="1">
            <w:r w:rsidR="00677742" w:rsidRPr="00951BC1">
              <w:rPr>
                <w:rStyle w:val="Hyperlink"/>
                <w:noProof/>
              </w:rPr>
              <w:t>3.2 Indigenous Rights as Collective Rights</w:t>
            </w:r>
            <w:r w:rsidR="00677742">
              <w:rPr>
                <w:noProof/>
                <w:webHidden/>
              </w:rPr>
              <w:tab/>
            </w:r>
            <w:r>
              <w:rPr>
                <w:noProof/>
                <w:webHidden/>
              </w:rPr>
              <w:fldChar w:fldCharType="begin"/>
            </w:r>
            <w:r w:rsidR="00677742">
              <w:rPr>
                <w:noProof/>
                <w:webHidden/>
              </w:rPr>
              <w:instrText xml:space="preserve"> PAGEREF _Toc399848353 \h </w:instrText>
            </w:r>
            <w:r w:rsidR="00CE5BC1">
              <w:rPr>
                <w:noProof/>
              </w:rPr>
            </w:r>
            <w:r>
              <w:rPr>
                <w:noProof/>
                <w:webHidden/>
              </w:rPr>
              <w:fldChar w:fldCharType="separate"/>
            </w:r>
            <w:r w:rsidR="007721F3">
              <w:rPr>
                <w:noProof/>
                <w:webHidden/>
              </w:rPr>
              <w:t>26</w:t>
            </w:r>
            <w:r>
              <w:rPr>
                <w:noProof/>
                <w:webHidden/>
              </w:rPr>
              <w:fldChar w:fldCharType="end"/>
            </w:r>
          </w:hyperlink>
        </w:p>
        <w:p w:rsidR="00677742" w:rsidRDefault="007D698A">
          <w:pPr>
            <w:pStyle w:val="TOC2"/>
            <w:tabs>
              <w:tab w:val="right" w:leader="dot" w:pos="8301"/>
            </w:tabs>
            <w:rPr>
              <w:noProof/>
              <w:sz w:val="22"/>
            </w:rPr>
          </w:pPr>
          <w:hyperlink w:anchor="_Toc399848354" w:history="1">
            <w:r w:rsidR="00677742" w:rsidRPr="00951BC1">
              <w:rPr>
                <w:rStyle w:val="Hyperlink"/>
                <w:noProof/>
              </w:rPr>
              <w:t>3.3 Development as “Aggression” and the Right not to be Forcibly Displaced</w:t>
            </w:r>
            <w:r w:rsidR="00677742">
              <w:rPr>
                <w:noProof/>
                <w:webHidden/>
              </w:rPr>
              <w:tab/>
            </w:r>
            <w:r>
              <w:rPr>
                <w:noProof/>
                <w:webHidden/>
              </w:rPr>
              <w:fldChar w:fldCharType="begin"/>
            </w:r>
            <w:r w:rsidR="00677742">
              <w:rPr>
                <w:noProof/>
                <w:webHidden/>
              </w:rPr>
              <w:instrText xml:space="preserve"> PAGEREF _Toc399848354 \h </w:instrText>
            </w:r>
            <w:r w:rsidR="00CE5BC1">
              <w:rPr>
                <w:noProof/>
              </w:rPr>
            </w:r>
            <w:r>
              <w:rPr>
                <w:noProof/>
                <w:webHidden/>
              </w:rPr>
              <w:fldChar w:fldCharType="separate"/>
            </w:r>
            <w:r w:rsidR="007721F3">
              <w:rPr>
                <w:noProof/>
                <w:webHidden/>
              </w:rPr>
              <w:t>28</w:t>
            </w:r>
            <w:r>
              <w:rPr>
                <w:noProof/>
                <w:webHidden/>
              </w:rPr>
              <w:fldChar w:fldCharType="end"/>
            </w:r>
          </w:hyperlink>
        </w:p>
        <w:p w:rsidR="00677742" w:rsidRDefault="007D698A">
          <w:pPr>
            <w:pStyle w:val="TOC2"/>
            <w:tabs>
              <w:tab w:val="right" w:leader="dot" w:pos="8301"/>
            </w:tabs>
            <w:rPr>
              <w:noProof/>
              <w:sz w:val="22"/>
            </w:rPr>
          </w:pPr>
          <w:hyperlink w:anchor="_Toc399848355" w:history="1">
            <w:r w:rsidR="00677742" w:rsidRPr="00951BC1">
              <w:rPr>
                <w:rStyle w:val="Hyperlink"/>
                <w:noProof/>
              </w:rPr>
              <w:t>3.4 Resource Development as “Development Aggression”</w:t>
            </w:r>
            <w:r w:rsidR="00677742">
              <w:rPr>
                <w:noProof/>
                <w:webHidden/>
              </w:rPr>
              <w:tab/>
            </w:r>
            <w:r>
              <w:rPr>
                <w:noProof/>
                <w:webHidden/>
              </w:rPr>
              <w:fldChar w:fldCharType="begin"/>
            </w:r>
            <w:r w:rsidR="00677742">
              <w:rPr>
                <w:noProof/>
                <w:webHidden/>
              </w:rPr>
              <w:instrText xml:space="preserve"> PAGEREF _Toc399848355 \h </w:instrText>
            </w:r>
            <w:r w:rsidR="00CE5BC1">
              <w:rPr>
                <w:noProof/>
              </w:rPr>
            </w:r>
            <w:r>
              <w:rPr>
                <w:noProof/>
                <w:webHidden/>
              </w:rPr>
              <w:fldChar w:fldCharType="separate"/>
            </w:r>
            <w:r w:rsidR="007721F3">
              <w:rPr>
                <w:noProof/>
                <w:webHidden/>
              </w:rPr>
              <w:t>32</w:t>
            </w:r>
            <w:r>
              <w:rPr>
                <w:noProof/>
                <w:webHidden/>
              </w:rPr>
              <w:fldChar w:fldCharType="end"/>
            </w:r>
          </w:hyperlink>
        </w:p>
        <w:p w:rsidR="00677742" w:rsidRDefault="007D698A">
          <w:pPr>
            <w:pStyle w:val="TOC1"/>
            <w:tabs>
              <w:tab w:val="right" w:leader="dot" w:pos="8301"/>
            </w:tabs>
            <w:rPr>
              <w:noProof/>
              <w:sz w:val="22"/>
            </w:rPr>
          </w:pPr>
          <w:hyperlink w:anchor="_Toc399848356" w:history="1">
            <w:r w:rsidR="00677742" w:rsidRPr="00951BC1">
              <w:rPr>
                <w:rStyle w:val="Hyperlink"/>
                <w:noProof/>
              </w:rPr>
              <w:t>Chapter 4 - The Right not to be Forcibly Displaced in International Law</w:t>
            </w:r>
            <w:r w:rsidR="00677742">
              <w:rPr>
                <w:noProof/>
                <w:webHidden/>
              </w:rPr>
              <w:tab/>
            </w:r>
            <w:r>
              <w:rPr>
                <w:noProof/>
                <w:webHidden/>
              </w:rPr>
              <w:fldChar w:fldCharType="begin"/>
            </w:r>
            <w:r w:rsidR="00677742">
              <w:rPr>
                <w:noProof/>
                <w:webHidden/>
              </w:rPr>
              <w:instrText xml:space="preserve"> PAGEREF _Toc399848356 \h </w:instrText>
            </w:r>
            <w:r w:rsidR="00CE5BC1">
              <w:rPr>
                <w:noProof/>
              </w:rPr>
            </w:r>
            <w:r>
              <w:rPr>
                <w:noProof/>
                <w:webHidden/>
              </w:rPr>
              <w:fldChar w:fldCharType="separate"/>
            </w:r>
            <w:r w:rsidR="007721F3">
              <w:rPr>
                <w:noProof/>
                <w:webHidden/>
              </w:rPr>
              <w:t>35</w:t>
            </w:r>
            <w:r>
              <w:rPr>
                <w:noProof/>
                <w:webHidden/>
              </w:rPr>
              <w:fldChar w:fldCharType="end"/>
            </w:r>
          </w:hyperlink>
        </w:p>
        <w:p w:rsidR="00677742" w:rsidRDefault="007D698A">
          <w:pPr>
            <w:pStyle w:val="TOC2"/>
            <w:tabs>
              <w:tab w:val="right" w:leader="dot" w:pos="8301"/>
            </w:tabs>
            <w:rPr>
              <w:noProof/>
              <w:sz w:val="22"/>
            </w:rPr>
          </w:pPr>
          <w:hyperlink w:anchor="_Toc399848357" w:history="1">
            <w:r w:rsidR="00677742" w:rsidRPr="00951BC1">
              <w:rPr>
                <w:rStyle w:val="Hyperlink"/>
                <w:noProof/>
              </w:rPr>
              <w:t>4.1 Introduction</w:t>
            </w:r>
            <w:r w:rsidR="00677742">
              <w:rPr>
                <w:noProof/>
                <w:webHidden/>
              </w:rPr>
              <w:tab/>
            </w:r>
            <w:r>
              <w:rPr>
                <w:noProof/>
                <w:webHidden/>
              </w:rPr>
              <w:fldChar w:fldCharType="begin"/>
            </w:r>
            <w:r w:rsidR="00677742">
              <w:rPr>
                <w:noProof/>
                <w:webHidden/>
              </w:rPr>
              <w:instrText xml:space="preserve"> PAGEREF _Toc399848357 \h </w:instrText>
            </w:r>
            <w:r w:rsidR="00CE5BC1">
              <w:rPr>
                <w:noProof/>
              </w:rPr>
            </w:r>
            <w:r>
              <w:rPr>
                <w:noProof/>
                <w:webHidden/>
              </w:rPr>
              <w:fldChar w:fldCharType="separate"/>
            </w:r>
            <w:r w:rsidR="007721F3">
              <w:rPr>
                <w:noProof/>
                <w:webHidden/>
              </w:rPr>
              <w:t>35</w:t>
            </w:r>
            <w:r>
              <w:rPr>
                <w:noProof/>
                <w:webHidden/>
              </w:rPr>
              <w:fldChar w:fldCharType="end"/>
            </w:r>
          </w:hyperlink>
        </w:p>
        <w:p w:rsidR="00677742" w:rsidRDefault="007D698A">
          <w:pPr>
            <w:pStyle w:val="TOC2"/>
            <w:tabs>
              <w:tab w:val="right" w:leader="dot" w:pos="8301"/>
            </w:tabs>
            <w:rPr>
              <w:noProof/>
              <w:sz w:val="22"/>
            </w:rPr>
          </w:pPr>
          <w:hyperlink w:anchor="_Toc399848358" w:history="1">
            <w:r w:rsidR="00677742" w:rsidRPr="00951BC1">
              <w:rPr>
                <w:rStyle w:val="Hyperlink"/>
                <w:noProof/>
              </w:rPr>
              <w:t>4.2 General Sources in International Law</w:t>
            </w:r>
            <w:r w:rsidR="00677742">
              <w:rPr>
                <w:noProof/>
                <w:webHidden/>
              </w:rPr>
              <w:tab/>
            </w:r>
            <w:r>
              <w:rPr>
                <w:noProof/>
                <w:webHidden/>
              </w:rPr>
              <w:fldChar w:fldCharType="begin"/>
            </w:r>
            <w:r w:rsidR="00677742">
              <w:rPr>
                <w:noProof/>
                <w:webHidden/>
              </w:rPr>
              <w:instrText xml:space="preserve"> PAGEREF _Toc399848358 \h </w:instrText>
            </w:r>
            <w:r w:rsidR="00CE5BC1">
              <w:rPr>
                <w:noProof/>
              </w:rPr>
            </w:r>
            <w:r>
              <w:rPr>
                <w:noProof/>
                <w:webHidden/>
              </w:rPr>
              <w:fldChar w:fldCharType="separate"/>
            </w:r>
            <w:r w:rsidR="007721F3">
              <w:rPr>
                <w:noProof/>
                <w:webHidden/>
              </w:rPr>
              <w:t>36</w:t>
            </w:r>
            <w:r>
              <w:rPr>
                <w:noProof/>
                <w:webHidden/>
              </w:rPr>
              <w:fldChar w:fldCharType="end"/>
            </w:r>
          </w:hyperlink>
        </w:p>
        <w:p w:rsidR="00677742" w:rsidRDefault="007D698A">
          <w:pPr>
            <w:pStyle w:val="TOC2"/>
            <w:tabs>
              <w:tab w:val="right" w:leader="dot" w:pos="8301"/>
            </w:tabs>
            <w:rPr>
              <w:noProof/>
              <w:sz w:val="22"/>
            </w:rPr>
          </w:pPr>
          <w:hyperlink w:anchor="_Toc399848359" w:history="1">
            <w:r w:rsidR="00677742" w:rsidRPr="00951BC1">
              <w:rPr>
                <w:rStyle w:val="Hyperlink"/>
                <w:noProof/>
                <w:lang w:val="en-US"/>
              </w:rPr>
              <w:t>4.3 Human Rights Committee</w:t>
            </w:r>
            <w:r w:rsidR="00677742">
              <w:rPr>
                <w:noProof/>
                <w:webHidden/>
              </w:rPr>
              <w:tab/>
            </w:r>
            <w:r>
              <w:rPr>
                <w:noProof/>
                <w:webHidden/>
              </w:rPr>
              <w:fldChar w:fldCharType="begin"/>
            </w:r>
            <w:r w:rsidR="00677742">
              <w:rPr>
                <w:noProof/>
                <w:webHidden/>
              </w:rPr>
              <w:instrText xml:space="preserve"> PAGEREF _Toc399848359 \h </w:instrText>
            </w:r>
            <w:r w:rsidR="00CE5BC1">
              <w:rPr>
                <w:noProof/>
              </w:rPr>
            </w:r>
            <w:r>
              <w:rPr>
                <w:noProof/>
                <w:webHidden/>
              </w:rPr>
              <w:fldChar w:fldCharType="separate"/>
            </w:r>
            <w:r w:rsidR="007721F3">
              <w:rPr>
                <w:noProof/>
                <w:webHidden/>
              </w:rPr>
              <w:t>39</w:t>
            </w:r>
            <w:r>
              <w:rPr>
                <w:noProof/>
                <w:webHidden/>
              </w:rPr>
              <w:fldChar w:fldCharType="end"/>
            </w:r>
          </w:hyperlink>
        </w:p>
        <w:p w:rsidR="00677742" w:rsidRDefault="007D698A">
          <w:pPr>
            <w:pStyle w:val="TOC2"/>
            <w:tabs>
              <w:tab w:val="right" w:leader="dot" w:pos="8301"/>
            </w:tabs>
            <w:rPr>
              <w:noProof/>
              <w:sz w:val="22"/>
            </w:rPr>
          </w:pPr>
          <w:hyperlink w:anchor="_Toc399848360" w:history="1">
            <w:r w:rsidR="00677742" w:rsidRPr="00951BC1">
              <w:rPr>
                <w:rStyle w:val="Hyperlink"/>
                <w:noProof/>
              </w:rPr>
              <w:t>4.4 Current Binding Legal Framework: ILO 169</w:t>
            </w:r>
            <w:r w:rsidR="00677742">
              <w:rPr>
                <w:noProof/>
                <w:webHidden/>
              </w:rPr>
              <w:tab/>
            </w:r>
            <w:r>
              <w:rPr>
                <w:noProof/>
                <w:webHidden/>
              </w:rPr>
              <w:fldChar w:fldCharType="begin"/>
            </w:r>
            <w:r w:rsidR="00677742">
              <w:rPr>
                <w:noProof/>
                <w:webHidden/>
              </w:rPr>
              <w:instrText xml:space="preserve"> PAGEREF _Toc399848360 \h </w:instrText>
            </w:r>
            <w:r w:rsidR="00CE5BC1">
              <w:rPr>
                <w:noProof/>
              </w:rPr>
            </w:r>
            <w:r>
              <w:rPr>
                <w:noProof/>
                <w:webHidden/>
              </w:rPr>
              <w:fldChar w:fldCharType="separate"/>
            </w:r>
            <w:r w:rsidR="007721F3">
              <w:rPr>
                <w:noProof/>
                <w:webHidden/>
              </w:rPr>
              <w:t>42</w:t>
            </w:r>
            <w:r>
              <w:rPr>
                <w:noProof/>
                <w:webHidden/>
              </w:rPr>
              <w:fldChar w:fldCharType="end"/>
            </w:r>
          </w:hyperlink>
        </w:p>
        <w:p w:rsidR="00677742" w:rsidRDefault="007D698A">
          <w:pPr>
            <w:pStyle w:val="TOC1"/>
            <w:tabs>
              <w:tab w:val="right" w:leader="dot" w:pos="8301"/>
            </w:tabs>
            <w:rPr>
              <w:noProof/>
              <w:sz w:val="22"/>
            </w:rPr>
          </w:pPr>
          <w:hyperlink w:anchor="_Toc399848361" w:history="1">
            <w:r w:rsidR="00677742" w:rsidRPr="00951BC1">
              <w:rPr>
                <w:rStyle w:val="Hyperlink"/>
                <w:noProof/>
              </w:rPr>
              <w:t>Chapter 5 - The Guiding Principles on Internal Displacement and the UN Declaration on the Rights of Indigenous Peoples</w:t>
            </w:r>
            <w:r w:rsidR="00677742">
              <w:rPr>
                <w:noProof/>
                <w:webHidden/>
              </w:rPr>
              <w:tab/>
            </w:r>
            <w:r>
              <w:rPr>
                <w:noProof/>
                <w:webHidden/>
              </w:rPr>
              <w:fldChar w:fldCharType="begin"/>
            </w:r>
            <w:r w:rsidR="00677742">
              <w:rPr>
                <w:noProof/>
                <w:webHidden/>
              </w:rPr>
              <w:instrText xml:space="preserve"> PAGEREF _Toc399848361 \h </w:instrText>
            </w:r>
            <w:r w:rsidR="00CE5BC1">
              <w:rPr>
                <w:noProof/>
              </w:rPr>
            </w:r>
            <w:r>
              <w:rPr>
                <w:noProof/>
                <w:webHidden/>
              </w:rPr>
              <w:fldChar w:fldCharType="separate"/>
            </w:r>
            <w:r w:rsidR="007721F3">
              <w:rPr>
                <w:noProof/>
                <w:webHidden/>
              </w:rPr>
              <w:t>46</w:t>
            </w:r>
            <w:r>
              <w:rPr>
                <w:noProof/>
                <w:webHidden/>
              </w:rPr>
              <w:fldChar w:fldCharType="end"/>
            </w:r>
          </w:hyperlink>
        </w:p>
        <w:p w:rsidR="00677742" w:rsidRDefault="007D698A">
          <w:pPr>
            <w:pStyle w:val="TOC2"/>
            <w:tabs>
              <w:tab w:val="right" w:leader="dot" w:pos="8301"/>
            </w:tabs>
            <w:rPr>
              <w:noProof/>
              <w:sz w:val="22"/>
            </w:rPr>
          </w:pPr>
          <w:hyperlink w:anchor="_Toc399848362" w:history="1">
            <w:r w:rsidR="00677742" w:rsidRPr="00951BC1">
              <w:rPr>
                <w:rStyle w:val="Hyperlink"/>
                <w:noProof/>
              </w:rPr>
              <w:t>5.1 Introduction: Is the Right Not to be Forcibly Displaced an Emerging Norm?</w:t>
            </w:r>
            <w:r w:rsidR="00677742">
              <w:rPr>
                <w:noProof/>
                <w:webHidden/>
              </w:rPr>
              <w:tab/>
            </w:r>
            <w:r>
              <w:rPr>
                <w:noProof/>
                <w:webHidden/>
              </w:rPr>
              <w:fldChar w:fldCharType="begin"/>
            </w:r>
            <w:r w:rsidR="00677742">
              <w:rPr>
                <w:noProof/>
                <w:webHidden/>
              </w:rPr>
              <w:instrText xml:space="preserve"> PAGEREF _Toc399848362 \h </w:instrText>
            </w:r>
            <w:r w:rsidR="00CE5BC1">
              <w:rPr>
                <w:noProof/>
              </w:rPr>
            </w:r>
            <w:r>
              <w:rPr>
                <w:noProof/>
                <w:webHidden/>
              </w:rPr>
              <w:fldChar w:fldCharType="separate"/>
            </w:r>
            <w:r w:rsidR="007721F3">
              <w:rPr>
                <w:noProof/>
                <w:webHidden/>
              </w:rPr>
              <w:t>46</w:t>
            </w:r>
            <w:r>
              <w:rPr>
                <w:noProof/>
                <w:webHidden/>
              </w:rPr>
              <w:fldChar w:fldCharType="end"/>
            </w:r>
          </w:hyperlink>
        </w:p>
        <w:p w:rsidR="00677742" w:rsidRDefault="007D698A">
          <w:pPr>
            <w:pStyle w:val="TOC2"/>
            <w:tabs>
              <w:tab w:val="right" w:leader="dot" w:pos="8301"/>
            </w:tabs>
            <w:rPr>
              <w:noProof/>
              <w:sz w:val="22"/>
            </w:rPr>
          </w:pPr>
          <w:hyperlink w:anchor="_Toc399848363" w:history="1">
            <w:r w:rsidR="00677742" w:rsidRPr="00951BC1">
              <w:rPr>
                <w:rStyle w:val="Hyperlink"/>
                <w:noProof/>
              </w:rPr>
              <w:t>5.2 UN Guiding Principles on Internal Displacement</w:t>
            </w:r>
            <w:r w:rsidR="00677742">
              <w:rPr>
                <w:noProof/>
                <w:webHidden/>
              </w:rPr>
              <w:tab/>
            </w:r>
            <w:r>
              <w:rPr>
                <w:noProof/>
                <w:webHidden/>
              </w:rPr>
              <w:fldChar w:fldCharType="begin"/>
            </w:r>
            <w:r w:rsidR="00677742">
              <w:rPr>
                <w:noProof/>
                <w:webHidden/>
              </w:rPr>
              <w:instrText xml:space="preserve"> PAGEREF _Toc399848363 \h </w:instrText>
            </w:r>
            <w:r w:rsidR="00CE5BC1">
              <w:rPr>
                <w:noProof/>
              </w:rPr>
            </w:r>
            <w:r>
              <w:rPr>
                <w:noProof/>
                <w:webHidden/>
              </w:rPr>
              <w:fldChar w:fldCharType="separate"/>
            </w:r>
            <w:r w:rsidR="007721F3">
              <w:rPr>
                <w:noProof/>
                <w:webHidden/>
              </w:rPr>
              <w:t>47</w:t>
            </w:r>
            <w:r>
              <w:rPr>
                <w:noProof/>
                <w:webHidden/>
              </w:rPr>
              <w:fldChar w:fldCharType="end"/>
            </w:r>
          </w:hyperlink>
        </w:p>
        <w:p w:rsidR="00677742" w:rsidRDefault="007D698A">
          <w:pPr>
            <w:pStyle w:val="TOC3"/>
            <w:tabs>
              <w:tab w:val="right" w:leader="dot" w:pos="8301"/>
            </w:tabs>
            <w:rPr>
              <w:noProof/>
              <w:sz w:val="22"/>
            </w:rPr>
          </w:pPr>
          <w:hyperlink w:anchor="_Toc399848364" w:history="1">
            <w:r w:rsidR="00677742" w:rsidRPr="00951BC1">
              <w:rPr>
                <w:rStyle w:val="Hyperlink"/>
                <w:noProof/>
              </w:rPr>
              <w:t>5.2.1 “Compelling and Overriding Public Interest”</w:t>
            </w:r>
            <w:r w:rsidR="00677742">
              <w:rPr>
                <w:noProof/>
                <w:webHidden/>
              </w:rPr>
              <w:tab/>
            </w:r>
            <w:r>
              <w:rPr>
                <w:noProof/>
                <w:webHidden/>
              </w:rPr>
              <w:fldChar w:fldCharType="begin"/>
            </w:r>
            <w:r w:rsidR="00677742">
              <w:rPr>
                <w:noProof/>
                <w:webHidden/>
              </w:rPr>
              <w:instrText xml:space="preserve"> PAGEREF _Toc399848364 \h </w:instrText>
            </w:r>
            <w:r w:rsidR="00CE5BC1">
              <w:rPr>
                <w:noProof/>
              </w:rPr>
            </w:r>
            <w:r>
              <w:rPr>
                <w:noProof/>
                <w:webHidden/>
              </w:rPr>
              <w:fldChar w:fldCharType="separate"/>
            </w:r>
            <w:r w:rsidR="007721F3">
              <w:rPr>
                <w:noProof/>
                <w:webHidden/>
              </w:rPr>
              <w:t>49</w:t>
            </w:r>
            <w:r>
              <w:rPr>
                <w:noProof/>
                <w:webHidden/>
              </w:rPr>
              <w:fldChar w:fldCharType="end"/>
            </w:r>
          </w:hyperlink>
        </w:p>
        <w:p w:rsidR="00677742" w:rsidRDefault="007D698A">
          <w:pPr>
            <w:pStyle w:val="TOC3"/>
            <w:tabs>
              <w:tab w:val="right" w:leader="dot" w:pos="8301"/>
            </w:tabs>
            <w:rPr>
              <w:noProof/>
              <w:sz w:val="22"/>
            </w:rPr>
          </w:pPr>
          <w:hyperlink w:anchor="_Toc399848365" w:history="1">
            <w:r w:rsidR="00677742" w:rsidRPr="00951BC1">
              <w:rPr>
                <w:rStyle w:val="Hyperlink"/>
                <w:noProof/>
              </w:rPr>
              <w:t>5.2.2 Proportionality and Necessity</w:t>
            </w:r>
            <w:r w:rsidR="00677742">
              <w:rPr>
                <w:noProof/>
                <w:webHidden/>
              </w:rPr>
              <w:tab/>
            </w:r>
            <w:r>
              <w:rPr>
                <w:noProof/>
                <w:webHidden/>
              </w:rPr>
              <w:fldChar w:fldCharType="begin"/>
            </w:r>
            <w:r w:rsidR="00677742">
              <w:rPr>
                <w:noProof/>
                <w:webHidden/>
              </w:rPr>
              <w:instrText xml:space="preserve"> PAGEREF _Toc399848365 \h </w:instrText>
            </w:r>
            <w:r w:rsidR="00CE5BC1">
              <w:rPr>
                <w:noProof/>
              </w:rPr>
            </w:r>
            <w:r>
              <w:rPr>
                <w:noProof/>
                <w:webHidden/>
              </w:rPr>
              <w:fldChar w:fldCharType="separate"/>
            </w:r>
            <w:r w:rsidR="007721F3">
              <w:rPr>
                <w:noProof/>
                <w:webHidden/>
              </w:rPr>
              <w:t>51</w:t>
            </w:r>
            <w:r>
              <w:rPr>
                <w:noProof/>
                <w:webHidden/>
              </w:rPr>
              <w:fldChar w:fldCharType="end"/>
            </w:r>
          </w:hyperlink>
        </w:p>
        <w:p w:rsidR="00677742" w:rsidRDefault="007D698A">
          <w:pPr>
            <w:pStyle w:val="TOC2"/>
            <w:tabs>
              <w:tab w:val="right" w:leader="dot" w:pos="8301"/>
            </w:tabs>
            <w:rPr>
              <w:noProof/>
              <w:sz w:val="22"/>
            </w:rPr>
          </w:pPr>
          <w:hyperlink w:anchor="_Toc399848366" w:history="1">
            <w:r w:rsidR="00677742" w:rsidRPr="00951BC1">
              <w:rPr>
                <w:rStyle w:val="Hyperlink"/>
                <w:noProof/>
              </w:rPr>
              <w:t>5.3 UN Declaration on the Rights of Indigenous Peoples</w:t>
            </w:r>
            <w:r w:rsidR="00677742">
              <w:rPr>
                <w:noProof/>
                <w:webHidden/>
              </w:rPr>
              <w:tab/>
            </w:r>
            <w:r>
              <w:rPr>
                <w:noProof/>
                <w:webHidden/>
              </w:rPr>
              <w:fldChar w:fldCharType="begin"/>
            </w:r>
            <w:r w:rsidR="00677742">
              <w:rPr>
                <w:noProof/>
                <w:webHidden/>
              </w:rPr>
              <w:instrText xml:space="preserve"> PAGEREF _Toc399848366 \h </w:instrText>
            </w:r>
            <w:r w:rsidR="00CE5BC1">
              <w:rPr>
                <w:noProof/>
              </w:rPr>
            </w:r>
            <w:r>
              <w:rPr>
                <w:noProof/>
                <w:webHidden/>
              </w:rPr>
              <w:fldChar w:fldCharType="separate"/>
            </w:r>
            <w:r w:rsidR="007721F3">
              <w:rPr>
                <w:noProof/>
                <w:webHidden/>
              </w:rPr>
              <w:t>53</w:t>
            </w:r>
            <w:r>
              <w:rPr>
                <w:noProof/>
                <w:webHidden/>
              </w:rPr>
              <w:fldChar w:fldCharType="end"/>
            </w:r>
          </w:hyperlink>
        </w:p>
        <w:p w:rsidR="00677742" w:rsidRDefault="007D698A">
          <w:pPr>
            <w:pStyle w:val="TOC3"/>
            <w:tabs>
              <w:tab w:val="right" w:leader="dot" w:pos="8301"/>
            </w:tabs>
            <w:rPr>
              <w:noProof/>
              <w:sz w:val="22"/>
            </w:rPr>
          </w:pPr>
          <w:hyperlink w:anchor="_Toc399848367" w:history="1">
            <w:r w:rsidR="00677742" w:rsidRPr="00951BC1">
              <w:rPr>
                <w:rStyle w:val="Hyperlink"/>
                <w:noProof/>
              </w:rPr>
              <w:t>5.3.1 Lands, Territories and Resources</w:t>
            </w:r>
            <w:r w:rsidR="00677742">
              <w:rPr>
                <w:noProof/>
                <w:webHidden/>
              </w:rPr>
              <w:tab/>
            </w:r>
            <w:r>
              <w:rPr>
                <w:noProof/>
                <w:webHidden/>
              </w:rPr>
              <w:fldChar w:fldCharType="begin"/>
            </w:r>
            <w:r w:rsidR="00677742">
              <w:rPr>
                <w:noProof/>
                <w:webHidden/>
              </w:rPr>
              <w:instrText xml:space="preserve"> PAGEREF _Toc399848367 \h </w:instrText>
            </w:r>
            <w:r w:rsidR="00CE5BC1">
              <w:rPr>
                <w:noProof/>
              </w:rPr>
            </w:r>
            <w:r>
              <w:rPr>
                <w:noProof/>
                <w:webHidden/>
              </w:rPr>
              <w:fldChar w:fldCharType="separate"/>
            </w:r>
            <w:r w:rsidR="007721F3">
              <w:rPr>
                <w:noProof/>
                <w:webHidden/>
              </w:rPr>
              <w:t>56</w:t>
            </w:r>
            <w:r>
              <w:rPr>
                <w:noProof/>
                <w:webHidden/>
              </w:rPr>
              <w:fldChar w:fldCharType="end"/>
            </w:r>
          </w:hyperlink>
        </w:p>
        <w:p w:rsidR="00677742" w:rsidRDefault="007D698A">
          <w:pPr>
            <w:pStyle w:val="TOC1"/>
            <w:tabs>
              <w:tab w:val="right" w:leader="dot" w:pos="8301"/>
            </w:tabs>
            <w:rPr>
              <w:noProof/>
              <w:sz w:val="22"/>
            </w:rPr>
          </w:pPr>
          <w:hyperlink w:anchor="_Toc399848368" w:history="1">
            <w:r w:rsidR="00677742" w:rsidRPr="00951BC1">
              <w:rPr>
                <w:rStyle w:val="Hyperlink"/>
                <w:noProof/>
              </w:rPr>
              <w:t>Chapter 6 - Obligations of States to Adequately Protect the Right not to be Forcibly Displaced</w:t>
            </w:r>
            <w:r w:rsidR="00677742">
              <w:rPr>
                <w:noProof/>
                <w:webHidden/>
              </w:rPr>
              <w:tab/>
            </w:r>
            <w:r>
              <w:rPr>
                <w:noProof/>
                <w:webHidden/>
              </w:rPr>
              <w:fldChar w:fldCharType="begin"/>
            </w:r>
            <w:r w:rsidR="00677742">
              <w:rPr>
                <w:noProof/>
                <w:webHidden/>
              </w:rPr>
              <w:instrText xml:space="preserve"> PAGEREF _Toc399848368 \h </w:instrText>
            </w:r>
            <w:r w:rsidR="00CE5BC1">
              <w:rPr>
                <w:noProof/>
              </w:rPr>
            </w:r>
            <w:r>
              <w:rPr>
                <w:noProof/>
                <w:webHidden/>
              </w:rPr>
              <w:fldChar w:fldCharType="separate"/>
            </w:r>
            <w:r w:rsidR="007721F3">
              <w:rPr>
                <w:noProof/>
                <w:webHidden/>
              </w:rPr>
              <w:t>59</w:t>
            </w:r>
            <w:r>
              <w:rPr>
                <w:noProof/>
                <w:webHidden/>
              </w:rPr>
              <w:fldChar w:fldCharType="end"/>
            </w:r>
          </w:hyperlink>
        </w:p>
        <w:p w:rsidR="00677742" w:rsidRDefault="007D698A">
          <w:pPr>
            <w:pStyle w:val="TOC2"/>
            <w:tabs>
              <w:tab w:val="right" w:leader="dot" w:pos="8301"/>
            </w:tabs>
            <w:rPr>
              <w:noProof/>
              <w:sz w:val="22"/>
            </w:rPr>
          </w:pPr>
          <w:hyperlink w:anchor="_Toc399848369" w:history="1">
            <w:r w:rsidR="00677742" w:rsidRPr="00951BC1">
              <w:rPr>
                <w:rStyle w:val="Hyperlink"/>
                <w:noProof/>
                <w:shd w:val="clear" w:color="auto" w:fill="FFFFFF"/>
              </w:rPr>
              <w:t>6.1 Introduction: Key Jurisprudence in the Fight against Forcible Displacement</w:t>
            </w:r>
            <w:r w:rsidR="00677742">
              <w:rPr>
                <w:noProof/>
                <w:webHidden/>
              </w:rPr>
              <w:tab/>
            </w:r>
            <w:r>
              <w:rPr>
                <w:noProof/>
                <w:webHidden/>
              </w:rPr>
              <w:fldChar w:fldCharType="begin"/>
            </w:r>
            <w:r w:rsidR="00677742">
              <w:rPr>
                <w:noProof/>
                <w:webHidden/>
              </w:rPr>
              <w:instrText xml:space="preserve"> PAGEREF _Toc399848369 \h </w:instrText>
            </w:r>
            <w:r w:rsidR="00CE5BC1">
              <w:rPr>
                <w:noProof/>
              </w:rPr>
            </w:r>
            <w:r>
              <w:rPr>
                <w:noProof/>
                <w:webHidden/>
              </w:rPr>
              <w:fldChar w:fldCharType="separate"/>
            </w:r>
            <w:r w:rsidR="007721F3">
              <w:rPr>
                <w:noProof/>
                <w:webHidden/>
              </w:rPr>
              <w:t>59</w:t>
            </w:r>
            <w:r>
              <w:rPr>
                <w:noProof/>
                <w:webHidden/>
              </w:rPr>
              <w:fldChar w:fldCharType="end"/>
            </w:r>
          </w:hyperlink>
        </w:p>
        <w:p w:rsidR="00677742" w:rsidRDefault="007D698A">
          <w:pPr>
            <w:pStyle w:val="TOC2"/>
            <w:tabs>
              <w:tab w:val="right" w:leader="dot" w:pos="8301"/>
            </w:tabs>
            <w:rPr>
              <w:noProof/>
              <w:sz w:val="22"/>
            </w:rPr>
          </w:pPr>
          <w:hyperlink w:anchor="_Toc399848370" w:history="1">
            <w:r w:rsidR="00677742" w:rsidRPr="00951BC1">
              <w:rPr>
                <w:rStyle w:val="Hyperlink"/>
                <w:noProof/>
                <w:shd w:val="clear" w:color="auto" w:fill="FFFFFF"/>
              </w:rPr>
              <w:t>6.2 Winterstein and others v France</w:t>
            </w:r>
            <w:r w:rsidR="00677742">
              <w:rPr>
                <w:noProof/>
                <w:webHidden/>
              </w:rPr>
              <w:tab/>
            </w:r>
            <w:r>
              <w:rPr>
                <w:noProof/>
                <w:webHidden/>
              </w:rPr>
              <w:fldChar w:fldCharType="begin"/>
            </w:r>
            <w:r w:rsidR="00677742">
              <w:rPr>
                <w:noProof/>
                <w:webHidden/>
              </w:rPr>
              <w:instrText xml:space="preserve"> PAGEREF _Toc399848370 \h </w:instrText>
            </w:r>
            <w:r w:rsidR="00CE5BC1">
              <w:rPr>
                <w:noProof/>
              </w:rPr>
            </w:r>
            <w:r>
              <w:rPr>
                <w:noProof/>
                <w:webHidden/>
              </w:rPr>
              <w:fldChar w:fldCharType="separate"/>
            </w:r>
            <w:r w:rsidR="007721F3">
              <w:rPr>
                <w:noProof/>
                <w:webHidden/>
              </w:rPr>
              <w:t>60</w:t>
            </w:r>
            <w:r>
              <w:rPr>
                <w:noProof/>
                <w:webHidden/>
              </w:rPr>
              <w:fldChar w:fldCharType="end"/>
            </w:r>
          </w:hyperlink>
        </w:p>
        <w:p w:rsidR="00677742" w:rsidRDefault="007D698A">
          <w:pPr>
            <w:pStyle w:val="TOC2"/>
            <w:tabs>
              <w:tab w:val="right" w:leader="dot" w:pos="8301"/>
            </w:tabs>
            <w:rPr>
              <w:noProof/>
              <w:sz w:val="22"/>
            </w:rPr>
          </w:pPr>
          <w:hyperlink w:anchor="_Toc399848371" w:history="1">
            <w:r w:rsidR="00677742" w:rsidRPr="00951BC1">
              <w:rPr>
                <w:rStyle w:val="Hyperlink"/>
                <w:noProof/>
              </w:rPr>
              <w:t>6.3 Yanomami Community v. Brazil</w:t>
            </w:r>
            <w:r w:rsidR="00677742">
              <w:rPr>
                <w:noProof/>
                <w:webHidden/>
              </w:rPr>
              <w:tab/>
            </w:r>
            <w:r>
              <w:rPr>
                <w:noProof/>
                <w:webHidden/>
              </w:rPr>
              <w:fldChar w:fldCharType="begin"/>
            </w:r>
            <w:r w:rsidR="00677742">
              <w:rPr>
                <w:noProof/>
                <w:webHidden/>
              </w:rPr>
              <w:instrText xml:space="preserve"> PAGEREF _Toc399848371 \h </w:instrText>
            </w:r>
            <w:r w:rsidR="00CE5BC1">
              <w:rPr>
                <w:noProof/>
              </w:rPr>
            </w:r>
            <w:r>
              <w:rPr>
                <w:noProof/>
                <w:webHidden/>
              </w:rPr>
              <w:fldChar w:fldCharType="separate"/>
            </w:r>
            <w:r w:rsidR="007721F3">
              <w:rPr>
                <w:noProof/>
                <w:webHidden/>
              </w:rPr>
              <w:t>63</w:t>
            </w:r>
            <w:r>
              <w:rPr>
                <w:noProof/>
                <w:webHidden/>
              </w:rPr>
              <w:fldChar w:fldCharType="end"/>
            </w:r>
          </w:hyperlink>
        </w:p>
        <w:p w:rsidR="00677742" w:rsidRDefault="007D698A">
          <w:pPr>
            <w:pStyle w:val="TOC3"/>
            <w:tabs>
              <w:tab w:val="right" w:leader="dot" w:pos="8301"/>
            </w:tabs>
            <w:rPr>
              <w:noProof/>
              <w:sz w:val="22"/>
            </w:rPr>
          </w:pPr>
          <w:hyperlink w:anchor="_Toc399848372" w:history="1">
            <w:r w:rsidR="00677742" w:rsidRPr="00951BC1">
              <w:rPr>
                <w:rStyle w:val="Hyperlink"/>
                <w:noProof/>
              </w:rPr>
              <w:t>6.4 Sawhoyamaxa Indigenous Community of the Enxet-Lengua people v Paraguay</w:t>
            </w:r>
            <w:r w:rsidR="00677742">
              <w:rPr>
                <w:noProof/>
                <w:webHidden/>
              </w:rPr>
              <w:tab/>
            </w:r>
            <w:r>
              <w:rPr>
                <w:noProof/>
                <w:webHidden/>
              </w:rPr>
              <w:fldChar w:fldCharType="begin"/>
            </w:r>
            <w:r w:rsidR="00677742">
              <w:rPr>
                <w:noProof/>
                <w:webHidden/>
              </w:rPr>
              <w:instrText xml:space="preserve"> PAGEREF _Toc399848372 \h </w:instrText>
            </w:r>
            <w:r w:rsidR="00CE5BC1">
              <w:rPr>
                <w:noProof/>
              </w:rPr>
            </w:r>
            <w:r>
              <w:rPr>
                <w:noProof/>
                <w:webHidden/>
              </w:rPr>
              <w:fldChar w:fldCharType="separate"/>
            </w:r>
            <w:r w:rsidR="007721F3">
              <w:rPr>
                <w:noProof/>
                <w:webHidden/>
              </w:rPr>
              <w:t>64</w:t>
            </w:r>
            <w:r>
              <w:rPr>
                <w:noProof/>
                <w:webHidden/>
              </w:rPr>
              <w:fldChar w:fldCharType="end"/>
            </w:r>
          </w:hyperlink>
        </w:p>
        <w:p w:rsidR="00677742" w:rsidRDefault="007D698A">
          <w:pPr>
            <w:pStyle w:val="TOC3"/>
            <w:tabs>
              <w:tab w:val="right" w:leader="dot" w:pos="8301"/>
            </w:tabs>
            <w:rPr>
              <w:noProof/>
              <w:sz w:val="22"/>
            </w:rPr>
          </w:pPr>
          <w:hyperlink w:anchor="_Toc399848373" w:history="1">
            <w:r w:rsidR="00677742" w:rsidRPr="00951BC1">
              <w:rPr>
                <w:rStyle w:val="Hyperlink"/>
                <w:noProof/>
              </w:rPr>
              <w:t>6.5.1 The Mayagna (Sumo) Awas Tingni Community v. Nicaragua</w:t>
            </w:r>
            <w:r w:rsidR="00677742">
              <w:rPr>
                <w:noProof/>
                <w:webHidden/>
              </w:rPr>
              <w:tab/>
            </w:r>
            <w:r>
              <w:rPr>
                <w:noProof/>
                <w:webHidden/>
              </w:rPr>
              <w:fldChar w:fldCharType="begin"/>
            </w:r>
            <w:r w:rsidR="00677742">
              <w:rPr>
                <w:noProof/>
                <w:webHidden/>
              </w:rPr>
              <w:instrText xml:space="preserve"> PAGEREF _Toc399848373 \h </w:instrText>
            </w:r>
            <w:r w:rsidR="00CE5BC1">
              <w:rPr>
                <w:noProof/>
              </w:rPr>
            </w:r>
            <w:r>
              <w:rPr>
                <w:noProof/>
                <w:webHidden/>
              </w:rPr>
              <w:fldChar w:fldCharType="separate"/>
            </w:r>
            <w:r w:rsidR="007721F3">
              <w:rPr>
                <w:noProof/>
                <w:webHidden/>
              </w:rPr>
              <w:t>67</w:t>
            </w:r>
            <w:r>
              <w:rPr>
                <w:noProof/>
                <w:webHidden/>
              </w:rPr>
              <w:fldChar w:fldCharType="end"/>
            </w:r>
          </w:hyperlink>
        </w:p>
        <w:p w:rsidR="00677742" w:rsidRDefault="007D698A">
          <w:pPr>
            <w:pStyle w:val="TOC1"/>
            <w:tabs>
              <w:tab w:val="right" w:leader="dot" w:pos="8301"/>
            </w:tabs>
            <w:rPr>
              <w:noProof/>
              <w:sz w:val="22"/>
            </w:rPr>
          </w:pPr>
          <w:hyperlink w:anchor="_Toc399848374" w:history="1">
            <w:r w:rsidR="00677742" w:rsidRPr="00951BC1">
              <w:rPr>
                <w:rStyle w:val="Hyperlink"/>
                <w:noProof/>
              </w:rPr>
              <w:t>Conclusion</w:t>
            </w:r>
            <w:r w:rsidR="00677742">
              <w:rPr>
                <w:noProof/>
                <w:webHidden/>
              </w:rPr>
              <w:tab/>
            </w:r>
            <w:r>
              <w:rPr>
                <w:noProof/>
                <w:webHidden/>
              </w:rPr>
              <w:fldChar w:fldCharType="begin"/>
            </w:r>
            <w:r w:rsidR="00677742">
              <w:rPr>
                <w:noProof/>
                <w:webHidden/>
              </w:rPr>
              <w:instrText xml:space="preserve"> PAGEREF _Toc399848374 \h </w:instrText>
            </w:r>
            <w:r w:rsidR="00CE5BC1">
              <w:rPr>
                <w:noProof/>
              </w:rPr>
            </w:r>
            <w:r>
              <w:rPr>
                <w:noProof/>
                <w:webHidden/>
              </w:rPr>
              <w:fldChar w:fldCharType="separate"/>
            </w:r>
            <w:r w:rsidR="007721F3">
              <w:rPr>
                <w:noProof/>
                <w:webHidden/>
              </w:rPr>
              <w:t>68</w:t>
            </w:r>
            <w:r>
              <w:rPr>
                <w:noProof/>
                <w:webHidden/>
              </w:rPr>
              <w:fldChar w:fldCharType="end"/>
            </w:r>
          </w:hyperlink>
        </w:p>
        <w:p w:rsidR="00677742" w:rsidRDefault="007D698A">
          <w:pPr>
            <w:pStyle w:val="TOC1"/>
            <w:tabs>
              <w:tab w:val="right" w:leader="dot" w:pos="8301"/>
            </w:tabs>
            <w:rPr>
              <w:noProof/>
              <w:sz w:val="22"/>
            </w:rPr>
          </w:pPr>
          <w:hyperlink w:anchor="_Toc399848375" w:history="1">
            <w:r w:rsidR="00677742" w:rsidRPr="00951BC1">
              <w:rPr>
                <w:rStyle w:val="Hyperlink"/>
                <w:noProof/>
              </w:rPr>
              <w:t>Bibliography</w:t>
            </w:r>
            <w:r w:rsidR="00677742">
              <w:rPr>
                <w:noProof/>
                <w:webHidden/>
              </w:rPr>
              <w:tab/>
            </w:r>
            <w:r>
              <w:rPr>
                <w:noProof/>
                <w:webHidden/>
              </w:rPr>
              <w:fldChar w:fldCharType="begin"/>
            </w:r>
            <w:r w:rsidR="00677742">
              <w:rPr>
                <w:noProof/>
                <w:webHidden/>
              </w:rPr>
              <w:instrText xml:space="preserve"> PAGEREF _Toc399848375 \h </w:instrText>
            </w:r>
            <w:r w:rsidR="00CE5BC1">
              <w:rPr>
                <w:noProof/>
              </w:rPr>
            </w:r>
            <w:r>
              <w:rPr>
                <w:noProof/>
                <w:webHidden/>
              </w:rPr>
              <w:fldChar w:fldCharType="separate"/>
            </w:r>
            <w:r w:rsidR="007721F3">
              <w:rPr>
                <w:noProof/>
                <w:webHidden/>
              </w:rPr>
              <w:t>70</w:t>
            </w:r>
            <w:r>
              <w:rPr>
                <w:noProof/>
                <w:webHidden/>
              </w:rPr>
              <w:fldChar w:fldCharType="end"/>
            </w:r>
          </w:hyperlink>
        </w:p>
        <w:p w:rsidR="00677742" w:rsidRDefault="007D698A">
          <w:pPr>
            <w:pStyle w:val="TOC2"/>
            <w:tabs>
              <w:tab w:val="right" w:leader="dot" w:pos="8301"/>
            </w:tabs>
            <w:rPr>
              <w:noProof/>
              <w:sz w:val="22"/>
            </w:rPr>
          </w:pPr>
          <w:hyperlink w:anchor="_Toc399848376" w:history="1">
            <w:r w:rsidR="00677742" w:rsidRPr="00951BC1">
              <w:rPr>
                <w:rStyle w:val="Hyperlink"/>
                <w:noProof/>
              </w:rPr>
              <w:t>Primary Sources</w:t>
            </w:r>
            <w:r w:rsidR="00677742">
              <w:rPr>
                <w:noProof/>
                <w:webHidden/>
              </w:rPr>
              <w:tab/>
            </w:r>
            <w:r>
              <w:rPr>
                <w:noProof/>
                <w:webHidden/>
              </w:rPr>
              <w:fldChar w:fldCharType="begin"/>
            </w:r>
            <w:r w:rsidR="00677742">
              <w:rPr>
                <w:noProof/>
                <w:webHidden/>
              </w:rPr>
              <w:instrText xml:space="preserve"> PAGEREF _Toc399848376 \h </w:instrText>
            </w:r>
            <w:r w:rsidR="00CE5BC1">
              <w:rPr>
                <w:noProof/>
              </w:rPr>
            </w:r>
            <w:r>
              <w:rPr>
                <w:noProof/>
                <w:webHidden/>
              </w:rPr>
              <w:fldChar w:fldCharType="separate"/>
            </w:r>
            <w:r w:rsidR="007721F3">
              <w:rPr>
                <w:noProof/>
                <w:webHidden/>
              </w:rPr>
              <w:t>70</w:t>
            </w:r>
            <w:r>
              <w:rPr>
                <w:noProof/>
                <w:webHidden/>
              </w:rPr>
              <w:fldChar w:fldCharType="end"/>
            </w:r>
          </w:hyperlink>
        </w:p>
        <w:p w:rsidR="00677742" w:rsidRDefault="007D698A">
          <w:pPr>
            <w:pStyle w:val="TOC3"/>
            <w:tabs>
              <w:tab w:val="right" w:leader="dot" w:pos="8301"/>
            </w:tabs>
            <w:rPr>
              <w:noProof/>
              <w:sz w:val="22"/>
            </w:rPr>
          </w:pPr>
          <w:hyperlink w:anchor="_Toc399848377" w:history="1">
            <w:r w:rsidR="00677742" w:rsidRPr="00951BC1">
              <w:rPr>
                <w:rStyle w:val="Hyperlink"/>
                <w:noProof/>
                <w:bdr w:val="none" w:sz="0" w:space="0" w:color="auto" w:frame="1"/>
                <w:shd w:val="clear" w:color="auto" w:fill="FFFFFF"/>
              </w:rPr>
              <w:t>Table of Conventions</w:t>
            </w:r>
            <w:r w:rsidR="00677742">
              <w:rPr>
                <w:noProof/>
                <w:webHidden/>
              </w:rPr>
              <w:tab/>
            </w:r>
            <w:r>
              <w:rPr>
                <w:noProof/>
                <w:webHidden/>
              </w:rPr>
              <w:fldChar w:fldCharType="begin"/>
            </w:r>
            <w:r w:rsidR="00677742">
              <w:rPr>
                <w:noProof/>
                <w:webHidden/>
              </w:rPr>
              <w:instrText xml:space="preserve"> PAGEREF _Toc399848377 \h </w:instrText>
            </w:r>
            <w:r w:rsidR="00CE5BC1">
              <w:rPr>
                <w:noProof/>
              </w:rPr>
            </w:r>
            <w:r>
              <w:rPr>
                <w:noProof/>
                <w:webHidden/>
              </w:rPr>
              <w:fldChar w:fldCharType="separate"/>
            </w:r>
            <w:r w:rsidR="007721F3">
              <w:rPr>
                <w:noProof/>
                <w:webHidden/>
              </w:rPr>
              <w:t>70</w:t>
            </w:r>
            <w:r>
              <w:rPr>
                <w:noProof/>
                <w:webHidden/>
              </w:rPr>
              <w:fldChar w:fldCharType="end"/>
            </w:r>
          </w:hyperlink>
        </w:p>
        <w:p w:rsidR="00677742" w:rsidRDefault="007D698A">
          <w:pPr>
            <w:pStyle w:val="TOC3"/>
            <w:tabs>
              <w:tab w:val="right" w:leader="dot" w:pos="8301"/>
            </w:tabs>
            <w:rPr>
              <w:noProof/>
              <w:sz w:val="22"/>
            </w:rPr>
          </w:pPr>
          <w:hyperlink w:anchor="_Toc399848378" w:history="1">
            <w:r w:rsidR="00677742" w:rsidRPr="00951BC1">
              <w:rPr>
                <w:rStyle w:val="Hyperlink"/>
                <w:noProof/>
                <w:bdr w:val="none" w:sz="0" w:space="0" w:color="auto" w:frame="1"/>
                <w:shd w:val="clear" w:color="auto" w:fill="FFFFFF"/>
              </w:rPr>
              <w:t>Other Primary Sources</w:t>
            </w:r>
            <w:r w:rsidR="00677742">
              <w:rPr>
                <w:noProof/>
                <w:webHidden/>
              </w:rPr>
              <w:tab/>
            </w:r>
            <w:r>
              <w:rPr>
                <w:noProof/>
                <w:webHidden/>
              </w:rPr>
              <w:fldChar w:fldCharType="begin"/>
            </w:r>
            <w:r w:rsidR="00677742">
              <w:rPr>
                <w:noProof/>
                <w:webHidden/>
              </w:rPr>
              <w:instrText xml:space="preserve"> PAGEREF _Toc399848378 \h </w:instrText>
            </w:r>
            <w:r w:rsidR="00CE5BC1">
              <w:rPr>
                <w:noProof/>
              </w:rPr>
            </w:r>
            <w:r>
              <w:rPr>
                <w:noProof/>
                <w:webHidden/>
              </w:rPr>
              <w:fldChar w:fldCharType="separate"/>
            </w:r>
            <w:r w:rsidR="007721F3">
              <w:rPr>
                <w:noProof/>
                <w:webHidden/>
              </w:rPr>
              <w:t>72</w:t>
            </w:r>
            <w:r>
              <w:rPr>
                <w:noProof/>
                <w:webHidden/>
              </w:rPr>
              <w:fldChar w:fldCharType="end"/>
            </w:r>
          </w:hyperlink>
        </w:p>
        <w:p w:rsidR="00677742" w:rsidRDefault="007D698A">
          <w:pPr>
            <w:pStyle w:val="TOC3"/>
            <w:tabs>
              <w:tab w:val="right" w:leader="dot" w:pos="8301"/>
            </w:tabs>
            <w:rPr>
              <w:noProof/>
              <w:sz w:val="22"/>
            </w:rPr>
          </w:pPr>
          <w:hyperlink w:anchor="_Toc399848379" w:history="1">
            <w:r w:rsidR="00677742" w:rsidRPr="00951BC1">
              <w:rPr>
                <w:rStyle w:val="Hyperlink"/>
                <w:noProof/>
              </w:rPr>
              <w:t>Human Rights Treaty Bodies</w:t>
            </w:r>
            <w:r w:rsidR="00677742">
              <w:rPr>
                <w:noProof/>
                <w:webHidden/>
              </w:rPr>
              <w:tab/>
            </w:r>
            <w:r>
              <w:rPr>
                <w:noProof/>
                <w:webHidden/>
              </w:rPr>
              <w:fldChar w:fldCharType="begin"/>
            </w:r>
            <w:r w:rsidR="00677742">
              <w:rPr>
                <w:noProof/>
                <w:webHidden/>
              </w:rPr>
              <w:instrText xml:space="preserve"> PAGEREF _Toc399848379 \h </w:instrText>
            </w:r>
            <w:r w:rsidR="00CE5BC1">
              <w:rPr>
                <w:noProof/>
              </w:rPr>
            </w:r>
            <w:r>
              <w:rPr>
                <w:noProof/>
                <w:webHidden/>
              </w:rPr>
              <w:fldChar w:fldCharType="separate"/>
            </w:r>
            <w:r w:rsidR="007721F3">
              <w:rPr>
                <w:noProof/>
                <w:webHidden/>
              </w:rPr>
              <w:t>73</w:t>
            </w:r>
            <w:r>
              <w:rPr>
                <w:noProof/>
                <w:webHidden/>
              </w:rPr>
              <w:fldChar w:fldCharType="end"/>
            </w:r>
          </w:hyperlink>
        </w:p>
        <w:p w:rsidR="00677742" w:rsidRDefault="007D698A">
          <w:pPr>
            <w:pStyle w:val="TOC2"/>
            <w:tabs>
              <w:tab w:val="right" w:leader="dot" w:pos="8301"/>
            </w:tabs>
            <w:rPr>
              <w:noProof/>
              <w:sz w:val="22"/>
            </w:rPr>
          </w:pPr>
          <w:hyperlink w:anchor="_Toc399848380" w:history="1">
            <w:r w:rsidR="00677742" w:rsidRPr="00951BC1">
              <w:rPr>
                <w:rStyle w:val="Hyperlink"/>
                <w:noProof/>
              </w:rPr>
              <w:t>Secondary Sources</w:t>
            </w:r>
            <w:r w:rsidR="00677742">
              <w:rPr>
                <w:noProof/>
                <w:webHidden/>
              </w:rPr>
              <w:tab/>
            </w:r>
            <w:r>
              <w:rPr>
                <w:noProof/>
                <w:webHidden/>
              </w:rPr>
              <w:fldChar w:fldCharType="begin"/>
            </w:r>
            <w:r w:rsidR="00677742">
              <w:rPr>
                <w:noProof/>
                <w:webHidden/>
              </w:rPr>
              <w:instrText xml:space="preserve"> PAGEREF _Toc399848380 \h </w:instrText>
            </w:r>
            <w:r w:rsidR="00CE5BC1">
              <w:rPr>
                <w:noProof/>
              </w:rPr>
            </w:r>
            <w:r>
              <w:rPr>
                <w:noProof/>
                <w:webHidden/>
              </w:rPr>
              <w:fldChar w:fldCharType="separate"/>
            </w:r>
            <w:r w:rsidR="007721F3">
              <w:rPr>
                <w:noProof/>
                <w:webHidden/>
              </w:rPr>
              <w:t>74</w:t>
            </w:r>
            <w:r>
              <w:rPr>
                <w:noProof/>
                <w:webHidden/>
              </w:rPr>
              <w:fldChar w:fldCharType="end"/>
            </w:r>
          </w:hyperlink>
        </w:p>
        <w:p w:rsidR="00677742" w:rsidRDefault="007D698A">
          <w:pPr>
            <w:pStyle w:val="TOC3"/>
            <w:tabs>
              <w:tab w:val="right" w:leader="dot" w:pos="8301"/>
            </w:tabs>
            <w:rPr>
              <w:noProof/>
              <w:sz w:val="22"/>
            </w:rPr>
          </w:pPr>
          <w:hyperlink w:anchor="_Toc399848381" w:history="1">
            <w:r w:rsidR="00677742" w:rsidRPr="00951BC1">
              <w:rPr>
                <w:rStyle w:val="Hyperlink"/>
                <w:noProof/>
              </w:rPr>
              <w:t>Journals</w:t>
            </w:r>
            <w:r w:rsidR="00677742">
              <w:rPr>
                <w:noProof/>
                <w:webHidden/>
              </w:rPr>
              <w:tab/>
            </w:r>
            <w:r>
              <w:rPr>
                <w:noProof/>
                <w:webHidden/>
              </w:rPr>
              <w:fldChar w:fldCharType="begin"/>
            </w:r>
            <w:r w:rsidR="00677742">
              <w:rPr>
                <w:noProof/>
                <w:webHidden/>
              </w:rPr>
              <w:instrText xml:space="preserve"> PAGEREF _Toc399848381 \h </w:instrText>
            </w:r>
            <w:r w:rsidR="00CE5BC1">
              <w:rPr>
                <w:noProof/>
              </w:rPr>
            </w:r>
            <w:r>
              <w:rPr>
                <w:noProof/>
                <w:webHidden/>
              </w:rPr>
              <w:fldChar w:fldCharType="separate"/>
            </w:r>
            <w:r w:rsidR="007721F3">
              <w:rPr>
                <w:noProof/>
                <w:webHidden/>
              </w:rPr>
              <w:t>74</w:t>
            </w:r>
            <w:r>
              <w:rPr>
                <w:noProof/>
                <w:webHidden/>
              </w:rPr>
              <w:fldChar w:fldCharType="end"/>
            </w:r>
          </w:hyperlink>
        </w:p>
        <w:p w:rsidR="00677742" w:rsidRDefault="007D698A">
          <w:pPr>
            <w:pStyle w:val="TOC3"/>
            <w:tabs>
              <w:tab w:val="right" w:leader="dot" w:pos="8301"/>
            </w:tabs>
            <w:rPr>
              <w:noProof/>
              <w:sz w:val="22"/>
            </w:rPr>
          </w:pPr>
          <w:hyperlink w:anchor="_Toc399848382" w:history="1">
            <w:r w:rsidR="00677742" w:rsidRPr="00951BC1">
              <w:rPr>
                <w:rStyle w:val="Hyperlink"/>
                <w:noProof/>
              </w:rPr>
              <w:t>Reports</w:t>
            </w:r>
            <w:r w:rsidR="00677742">
              <w:rPr>
                <w:noProof/>
                <w:webHidden/>
              </w:rPr>
              <w:tab/>
            </w:r>
            <w:r>
              <w:rPr>
                <w:noProof/>
                <w:webHidden/>
              </w:rPr>
              <w:fldChar w:fldCharType="begin"/>
            </w:r>
            <w:r w:rsidR="00677742">
              <w:rPr>
                <w:noProof/>
                <w:webHidden/>
              </w:rPr>
              <w:instrText xml:space="preserve"> PAGEREF _Toc399848382 \h </w:instrText>
            </w:r>
            <w:r w:rsidR="00CE5BC1">
              <w:rPr>
                <w:noProof/>
              </w:rPr>
            </w:r>
            <w:r>
              <w:rPr>
                <w:noProof/>
                <w:webHidden/>
              </w:rPr>
              <w:fldChar w:fldCharType="separate"/>
            </w:r>
            <w:r w:rsidR="007721F3">
              <w:rPr>
                <w:noProof/>
                <w:webHidden/>
              </w:rPr>
              <w:t>77</w:t>
            </w:r>
            <w:r>
              <w:rPr>
                <w:noProof/>
                <w:webHidden/>
              </w:rPr>
              <w:fldChar w:fldCharType="end"/>
            </w:r>
          </w:hyperlink>
        </w:p>
        <w:p w:rsidR="00677742" w:rsidRDefault="007D698A">
          <w:pPr>
            <w:pStyle w:val="TOC3"/>
            <w:tabs>
              <w:tab w:val="right" w:leader="dot" w:pos="8301"/>
            </w:tabs>
            <w:rPr>
              <w:noProof/>
              <w:sz w:val="22"/>
            </w:rPr>
          </w:pPr>
          <w:hyperlink w:anchor="_Toc399848383" w:history="1">
            <w:r w:rsidR="00677742" w:rsidRPr="00951BC1">
              <w:rPr>
                <w:rStyle w:val="Hyperlink"/>
                <w:noProof/>
              </w:rPr>
              <w:t>Internet</w:t>
            </w:r>
            <w:r w:rsidR="00677742">
              <w:rPr>
                <w:noProof/>
                <w:webHidden/>
              </w:rPr>
              <w:tab/>
            </w:r>
            <w:r>
              <w:rPr>
                <w:noProof/>
                <w:webHidden/>
              </w:rPr>
              <w:fldChar w:fldCharType="begin"/>
            </w:r>
            <w:r w:rsidR="00677742">
              <w:rPr>
                <w:noProof/>
                <w:webHidden/>
              </w:rPr>
              <w:instrText xml:space="preserve"> PAGEREF _Toc399848383 \h </w:instrText>
            </w:r>
            <w:r w:rsidR="00CE5BC1">
              <w:rPr>
                <w:noProof/>
              </w:rPr>
            </w:r>
            <w:r>
              <w:rPr>
                <w:noProof/>
                <w:webHidden/>
              </w:rPr>
              <w:fldChar w:fldCharType="separate"/>
            </w:r>
            <w:r w:rsidR="007721F3">
              <w:rPr>
                <w:noProof/>
                <w:webHidden/>
              </w:rPr>
              <w:t>80</w:t>
            </w:r>
            <w:r>
              <w:rPr>
                <w:noProof/>
                <w:webHidden/>
              </w:rPr>
              <w:fldChar w:fldCharType="end"/>
            </w:r>
          </w:hyperlink>
        </w:p>
        <w:p w:rsidR="00677742" w:rsidRDefault="007D698A">
          <w:pPr>
            <w:pStyle w:val="TOC3"/>
            <w:tabs>
              <w:tab w:val="right" w:leader="dot" w:pos="8301"/>
            </w:tabs>
            <w:rPr>
              <w:noProof/>
              <w:sz w:val="22"/>
            </w:rPr>
          </w:pPr>
          <w:hyperlink w:anchor="_Toc399848384" w:history="1">
            <w:r w:rsidR="00677742" w:rsidRPr="00951BC1">
              <w:rPr>
                <w:rStyle w:val="Hyperlink"/>
                <w:noProof/>
              </w:rPr>
              <w:t>Books</w:t>
            </w:r>
            <w:r w:rsidR="00677742">
              <w:rPr>
                <w:noProof/>
                <w:webHidden/>
              </w:rPr>
              <w:tab/>
            </w:r>
            <w:r>
              <w:rPr>
                <w:noProof/>
                <w:webHidden/>
              </w:rPr>
              <w:fldChar w:fldCharType="begin"/>
            </w:r>
            <w:r w:rsidR="00677742">
              <w:rPr>
                <w:noProof/>
                <w:webHidden/>
              </w:rPr>
              <w:instrText xml:space="preserve"> PAGEREF _Toc399848384 \h </w:instrText>
            </w:r>
            <w:r w:rsidR="00CE5BC1">
              <w:rPr>
                <w:noProof/>
              </w:rPr>
            </w:r>
            <w:r>
              <w:rPr>
                <w:noProof/>
                <w:webHidden/>
              </w:rPr>
              <w:fldChar w:fldCharType="separate"/>
            </w:r>
            <w:r w:rsidR="007721F3">
              <w:rPr>
                <w:noProof/>
                <w:webHidden/>
              </w:rPr>
              <w:t>84</w:t>
            </w:r>
            <w:r>
              <w:rPr>
                <w:noProof/>
                <w:webHidden/>
              </w:rPr>
              <w:fldChar w:fldCharType="end"/>
            </w:r>
          </w:hyperlink>
        </w:p>
        <w:p w:rsidR="00086561" w:rsidRPr="00514C8F" w:rsidRDefault="007D698A">
          <w:pPr>
            <w:rPr>
              <w:rFonts w:ascii="Times New Roman" w:hAnsi="Times New Roman" w:cs="Times New Roman"/>
              <w:sz w:val="24"/>
              <w:szCs w:val="24"/>
            </w:rPr>
          </w:pPr>
          <w:r w:rsidRPr="00514C8F">
            <w:rPr>
              <w:rFonts w:ascii="Times New Roman" w:hAnsi="Times New Roman" w:cs="Times New Roman"/>
              <w:sz w:val="24"/>
              <w:szCs w:val="24"/>
            </w:rPr>
            <w:fldChar w:fldCharType="end"/>
          </w:r>
        </w:p>
      </w:sdtContent>
    </w:sdt>
    <w:p w:rsidR="00086561" w:rsidRDefault="00086561">
      <w:pPr>
        <w:rPr>
          <w:rStyle w:val="a"/>
        </w:rPr>
      </w:pPr>
      <w:r>
        <w:rPr>
          <w:rStyle w:val="a"/>
          <w:rFonts w:cs="Aharoni"/>
          <w:color w:val="231F20"/>
          <w:spacing w:val="19"/>
          <w:sz w:val="18"/>
          <w:szCs w:val="18"/>
          <w:bdr w:val="none" w:sz="0" w:space="0" w:color="auto" w:frame="1"/>
          <w:shd w:val="clear" w:color="auto" w:fill="FFFFFF"/>
        </w:rPr>
        <w:br w:type="page"/>
      </w:r>
    </w:p>
    <w:p w:rsidR="00BC5C8B" w:rsidRPr="00BB2D76" w:rsidRDefault="00BC5C8B" w:rsidP="00BB2D76">
      <w:pPr>
        <w:pStyle w:val="Heading1"/>
        <w:rPr>
          <w:rStyle w:val="a"/>
          <w:rFonts w:asciiTheme="minorHAnsi" w:eastAsiaTheme="minorEastAsia" w:hAnsiTheme="minorHAnsi" w:cstheme="minorBidi"/>
          <w:b w:val="0"/>
          <w:bCs w:val="0"/>
          <w:color w:val="auto"/>
          <w:sz w:val="20"/>
          <w:szCs w:val="22"/>
        </w:rPr>
      </w:pPr>
      <w:bookmarkStart w:id="0" w:name="_Toc399848333"/>
      <w:r w:rsidRPr="00BB2D76">
        <w:rPr>
          <w:rStyle w:val="a"/>
          <w:szCs w:val="18"/>
          <w:bdr w:val="none" w:sz="0" w:space="0" w:color="auto" w:frame="1"/>
          <w:shd w:val="clear" w:color="auto" w:fill="FFFFFF"/>
        </w:rPr>
        <w:t>Table of Cases</w:t>
      </w:r>
      <w:bookmarkEnd w:id="0"/>
    </w:p>
    <w:p w:rsidR="00BC5C8B" w:rsidRDefault="00BC5C8B" w:rsidP="00BC5C8B"/>
    <w:p w:rsidR="00BC5C8B" w:rsidRPr="00D65630" w:rsidRDefault="00BC5C8B" w:rsidP="00BC5C8B">
      <w:pPr>
        <w:pStyle w:val="NoSpacing"/>
        <w:rPr>
          <w:rStyle w:val="Strong"/>
        </w:rPr>
      </w:pPr>
      <w:r w:rsidRPr="00D65630">
        <w:rPr>
          <w:rFonts w:ascii="Times New Roman" w:hAnsi="Times New Roman" w:cs="Times New Roman"/>
          <w:sz w:val="24"/>
          <w:szCs w:val="24"/>
        </w:rPr>
        <w:t>African Commission on Human and People's Rights,</w:t>
      </w:r>
      <w:r w:rsidRPr="00D65630">
        <w:rPr>
          <w:rStyle w:val="Strong"/>
          <w:rFonts w:ascii="Times New Roman" w:hAnsi="Times New Roman" w:cs="Times New Roman"/>
          <w:b w:val="0"/>
          <w:i/>
          <w:sz w:val="24"/>
          <w:szCs w:val="24"/>
          <w:shd w:val="clear" w:color="auto" w:fill="FFFFFF"/>
        </w:rPr>
        <w:t xml:space="preserve"> Centre on Housing Rights and Evictions v. The Sudan, </w:t>
      </w:r>
      <w:r w:rsidRPr="00D65630">
        <w:rPr>
          <w:rStyle w:val="Strong"/>
          <w:rFonts w:ascii="Times New Roman" w:hAnsi="Times New Roman" w:cs="Times New Roman"/>
          <w:b w:val="0"/>
          <w:sz w:val="24"/>
          <w:szCs w:val="24"/>
          <w:shd w:val="clear" w:color="auto" w:fill="FFFFFF"/>
        </w:rPr>
        <w:t>Communication Nos. 279/03 &amp; 296/05: (27 May 2009)</w:t>
      </w:r>
    </w:p>
    <w:p w:rsidR="00BC5C8B" w:rsidRPr="00D65630" w:rsidRDefault="00BC5C8B" w:rsidP="00BC5C8B">
      <w:pPr>
        <w:spacing w:after="0" w:line="240" w:lineRule="auto"/>
        <w:rPr>
          <w:rFonts w:ascii="Times New Roman" w:eastAsia="Times New Roman" w:hAnsi="Times New Roman" w:cs="Times New Roman"/>
          <w:sz w:val="24"/>
          <w:szCs w:val="24"/>
        </w:rPr>
      </w:pPr>
    </w:p>
    <w:p w:rsidR="00BC5C8B" w:rsidRPr="00D65630" w:rsidRDefault="00BC5C8B" w:rsidP="00D65630">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shd w:val="clear" w:color="auto" w:fill="F9F9F9"/>
        </w:rPr>
        <w:t>African Commission on Human and Peoples' Rights,</w:t>
      </w:r>
      <w:r w:rsidRPr="00D65630">
        <w:rPr>
          <w:rStyle w:val="a"/>
          <w:rFonts w:ascii="Times New Roman" w:hAnsi="Times New Roman" w:cs="Times New Roman"/>
          <w:sz w:val="24"/>
          <w:szCs w:val="24"/>
          <w:bdr w:val="none" w:sz="0" w:space="0" w:color="auto" w:frame="1"/>
          <w:shd w:val="clear" w:color="auto" w:fill="FFFFFF"/>
        </w:rPr>
        <w:t xml:space="preserve"> </w:t>
      </w:r>
      <w:r w:rsidRPr="00D65630">
        <w:rPr>
          <w:rFonts w:ascii="Times New Roman" w:hAnsi="Times New Roman" w:cs="Times New Roman"/>
          <w:i/>
          <w:sz w:val="24"/>
          <w:szCs w:val="24"/>
        </w:rPr>
        <w:t>The Centre for Minority Rights Development (Kenya) and Minority Rights Group International on behalf of Endorois Welfare Council v Kenya</w:t>
      </w:r>
      <w:r w:rsidRPr="00D65630">
        <w:rPr>
          <w:rFonts w:ascii="Times New Roman" w:hAnsi="Times New Roman" w:cs="Times New Roman"/>
          <w:sz w:val="24"/>
          <w:szCs w:val="24"/>
        </w:rPr>
        <w:t>, Communication No. 276/2003: (25 November 2009)</w:t>
      </w:r>
    </w:p>
    <w:p w:rsidR="00BC5C8B" w:rsidRPr="00D65630" w:rsidRDefault="00BC5C8B" w:rsidP="00D65630">
      <w:pPr>
        <w:pStyle w:val="NoSpacing"/>
        <w:spacing w:line="360" w:lineRule="auto"/>
        <w:rPr>
          <w:rFonts w:ascii="Times New Roman" w:hAnsi="Times New Roman" w:cs="Times New Roman"/>
          <w:sz w:val="24"/>
          <w:szCs w:val="24"/>
        </w:rPr>
      </w:pPr>
    </w:p>
    <w:p w:rsidR="00BC5C8B" w:rsidRPr="00D65630" w:rsidRDefault="009A6527" w:rsidP="00D65630">
      <w:pPr>
        <w:pStyle w:val="NoSpacing"/>
        <w:spacing w:line="360" w:lineRule="auto"/>
        <w:rPr>
          <w:rFonts w:ascii="Times New Roman" w:hAnsi="Times New Roman" w:cs="Times New Roman"/>
          <w:sz w:val="24"/>
          <w:szCs w:val="24"/>
          <w:shd w:val="clear" w:color="auto" w:fill="FFFFFF"/>
        </w:rPr>
      </w:pPr>
      <w:r w:rsidRPr="009A6527">
        <w:rPr>
          <w:rFonts w:ascii="Times New Roman" w:hAnsi="Times New Roman" w:cs="Times New Roman"/>
          <w:bCs/>
          <w:color w:val="252525"/>
          <w:sz w:val="24"/>
          <w:szCs w:val="24"/>
          <w:shd w:val="clear" w:color="auto" w:fill="FFFFFF"/>
        </w:rPr>
        <w:t>United States Court of Appeals for the Ninth Circuit</w:t>
      </w:r>
      <w:r w:rsidRPr="009A6527">
        <w:rPr>
          <w:rStyle w:val="apple-converted-space"/>
          <w:rFonts w:ascii="Times New Roman" w:hAnsi="Times New Roman" w:cs="Times New Roman"/>
          <w:color w:val="252525"/>
          <w:sz w:val="24"/>
          <w:szCs w:val="24"/>
          <w:shd w:val="clear" w:color="auto" w:fill="FFFFFF"/>
        </w:rPr>
        <w:t> </w:t>
      </w:r>
      <w:r w:rsidR="00BC5C8B" w:rsidRPr="009A6527">
        <w:rPr>
          <w:rFonts w:ascii="Times New Roman" w:hAnsi="Times New Roman" w:cs="Times New Roman"/>
          <w:sz w:val="24"/>
          <w:szCs w:val="24"/>
        </w:rPr>
        <w:t xml:space="preserve"> </w:t>
      </w:r>
      <w:r w:rsidR="00BC5C8B" w:rsidRPr="009A6527">
        <w:rPr>
          <w:rFonts w:ascii="Times New Roman" w:hAnsi="Times New Roman" w:cs="Times New Roman"/>
          <w:i/>
          <w:sz w:val="24"/>
          <w:szCs w:val="24"/>
        </w:rPr>
        <w:t>Doe v. Unocal</w:t>
      </w:r>
      <w:r w:rsidR="00BC5C8B" w:rsidRPr="009A6527">
        <w:rPr>
          <w:rFonts w:ascii="Times New Roman" w:hAnsi="Times New Roman" w:cs="Times New Roman"/>
          <w:sz w:val="24"/>
          <w:szCs w:val="24"/>
        </w:rPr>
        <w:t xml:space="preserve"> </w:t>
      </w:r>
      <w:r w:rsidR="00BC5C8B" w:rsidRPr="009A6527">
        <w:rPr>
          <w:rFonts w:ascii="Times New Roman" w:hAnsi="Times New Roman" w:cs="Times New Roman"/>
          <w:i/>
          <w:sz w:val="24"/>
          <w:szCs w:val="24"/>
        </w:rPr>
        <w:t>395</w:t>
      </w:r>
      <w:r w:rsidR="00BC5C8B" w:rsidRPr="009A6527">
        <w:rPr>
          <w:rStyle w:val="Emphasis"/>
          <w:rFonts w:ascii="Times New Roman" w:hAnsi="Times New Roman" w:cs="Times New Roman"/>
          <w:bCs/>
          <w:i w:val="0"/>
          <w:iCs w:val="0"/>
          <w:sz w:val="24"/>
          <w:szCs w:val="24"/>
          <w:shd w:val="clear" w:color="auto" w:fill="FFFFFF"/>
        </w:rPr>
        <w:t xml:space="preserve"> F</w:t>
      </w:r>
      <w:r w:rsidR="00BC5C8B" w:rsidRPr="009A6527">
        <w:rPr>
          <w:rFonts w:ascii="Times New Roman" w:hAnsi="Times New Roman" w:cs="Times New Roman"/>
          <w:i/>
          <w:sz w:val="24"/>
          <w:szCs w:val="24"/>
          <w:shd w:val="clear" w:color="auto" w:fill="FFFFFF"/>
        </w:rPr>
        <w:t>.</w:t>
      </w:r>
      <w:r w:rsidR="00BC5C8B" w:rsidRPr="009A6527">
        <w:rPr>
          <w:rStyle w:val="Emphasis"/>
          <w:rFonts w:ascii="Times New Roman" w:hAnsi="Times New Roman" w:cs="Times New Roman"/>
          <w:bCs/>
          <w:i w:val="0"/>
          <w:iCs w:val="0"/>
          <w:sz w:val="24"/>
          <w:szCs w:val="24"/>
          <w:shd w:val="clear" w:color="auto" w:fill="FFFFFF"/>
        </w:rPr>
        <w:t>3d 932</w:t>
      </w:r>
      <w:r w:rsidR="00BC5C8B" w:rsidRPr="009A6527">
        <w:rPr>
          <w:rStyle w:val="apple-converted-space"/>
          <w:rFonts w:ascii="Times New Roman" w:hAnsi="Times New Roman" w:cs="Times New Roman"/>
          <w:i/>
          <w:sz w:val="24"/>
          <w:szCs w:val="24"/>
          <w:shd w:val="clear" w:color="auto" w:fill="FFFFFF"/>
        </w:rPr>
        <w:t> </w:t>
      </w:r>
      <w:r w:rsidR="00BC5C8B" w:rsidRPr="009A6527">
        <w:rPr>
          <w:rFonts w:ascii="Times New Roman" w:hAnsi="Times New Roman" w:cs="Times New Roman"/>
          <w:i/>
          <w:sz w:val="24"/>
          <w:szCs w:val="24"/>
          <w:shd w:val="clear" w:color="auto" w:fill="FFFFFF"/>
        </w:rPr>
        <w:t>(</w:t>
      </w:r>
      <w:r w:rsidR="00BC5C8B" w:rsidRPr="009A6527">
        <w:rPr>
          <w:rStyle w:val="Emphasis"/>
          <w:rFonts w:ascii="Times New Roman" w:hAnsi="Times New Roman" w:cs="Times New Roman"/>
          <w:bCs/>
          <w:i w:val="0"/>
          <w:iCs w:val="0"/>
          <w:sz w:val="24"/>
          <w:szCs w:val="24"/>
          <w:shd w:val="clear" w:color="auto" w:fill="FFFFFF"/>
        </w:rPr>
        <w:t>9th Cir</w:t>
      </w:r>
      <w:r w:rsidR="00BC5C8B" w:rsidRPr="009A6527">
        <w:rPr>
          <w:rFonts w:ascii="Times New Roman" w:hAnsi="Times New Roman" w:cs="Times New Roman"/>
          <w:i/>
          <w:sz w:val="24"/>
          <w:szCs w:val="24"/>
          <w:shd w:val="clear" w:color="auto" w:fill="FFFFFF"/>
        </w:rPr>
        <w:t>.</w:t>
      </w:r>
      <w:r w:rsidR="00BC5C8B" w:rsidRPr="009A6527">
        <w:rPr>
          <w:rStyle w:val="apple-converted-space"/>
          <w:rFonts w:ascii="Times New Roman" w:hAnsi="Times New Roman" w:cs="Times New Roman"/>
          <w:i/>
          <w:sz w:val="24"/>
          <w:szCs w:val="24"/>
          <w:shd w:val="clear" w:color="auto" w:fill="FFFFFF"/>
        </w:rPr>
        <w:t> </w:t>
      </w:r>
      <w:r w:rsidR="00BC5C8B" w:rsidRPr="009A6527">
        <w:rPr>
          <w:rStyle w:val="Emphasis"/>
          <w:rFonts w:ascii="Times New Roman" w:hAnsi="Times New Roman" w:cs="Times New Roman"/>
          <w:bCs/>
          <w:i w:val="0"/>
          <w:iCs w:val="0"/>
          <w:sz w:val="24"/>
          <w:szCs w:val="24"/>
          <w:shd w:val="clear" w:color="auto" w:fill="FFFFFF"/>
        </w:rPr>
        <w:t>2002</w:t>
      </w:r>
      <w:r w:rsidR="00BC5C8B" w:rsidRPr="009A6527">
        <w:rPr>
          <w:rFonts w:ascii="Times New Roman" w:hAnsi="Times New Roman" w:cs="Times New Roman"/>
          <w:sz w:val="24"/>
          <w:szCs w:val="24"/>
          <w:shd w:val="clear" w:color="auto" w:fill="FFFFFF"/>
        </w:rPr>
        <w:t>)</w:t>
      </w:r>
      <w:r w:rsidR="00BC5C8B" w:rsidRPr="00D65630">
        <w:rPr>
          <w:rFonts w:ascii="Times New Roman" w:hAnsi="Times New Roman" w:cs="Times New Roman"/>
          <w:sz w:val="24"/>
          <w:szCs w:val="24"/>
          <w:shd w:val="clear" w:color="auto" w:fill="FFFFFF"/>
        </w:rPr>
        <w:t xml:space="preserve"> </w:t>
      </w:r>
    </w:p>
    <w:p w:rsidR="00BC5C8B" w:rsidRPr="00D65630" w:rsidRDefault="00BC5C8B" w:rsidP="00D65630">
      <w:pPr>
        <w:pStyle w:val="NoSpacing"/>
        <w:spacing w:line="360" w:lineRule="auto"/>
        <w:rPr>
          <w:rFonts w:ascii="Times New Roman" w:hAnsi="Times New Roman" w:cs="Times New Roman"/>
          <w:sz w:val="24"/>
          <w:szCs w:val="24"/>
          <w:shd w:val="clear" w:color="auto" w:fill="FFFFFF"/>
        </w:rPr>
      </w:pPr>
    </w:p>
    <w:p w:rsidR="00BC5C8B" w:rsidRPr="00D65630" w:rsidRDefault="00BC5C8B" w:rsidP="00D65630">
      <w:pPr>
        <w:pStyle w:val="NoSpacing"/>
        <w:spacing w:line="360" w:lineRule="auto"/>
        <w:rPr>
          <w:rFonts w:ascii="Times New Roman" w:hAnsi="Times New Roman" w:cs="Times New Roman"/>
          <w:sz w:val="24"/>
          <w:szCs w:val="24"/>
          <w:shd w:val="clear" w:color="auto" w:fill="FFFFFF"/>
        </w:rPr>
      </w:pPr>
      <w:r w:rsidRPr="00D65630">
        <w:rPr>
          <w:rFonts w:ascii="Times New Roman" w:hAnsi="Times New Roman" w:cs="Times New Roman"/>
          <w:sz w:val="24"/>
          <w:szCs w:val="24"/>
          <w:shd w:val="clear" w:color="auto" w:fill="FFFFFF"/>
        </w:rPr>
        <w:t>European Court of Human Rights,</w:t>
      </w:r>
      <w:r w:rsidRPr="00D65630">
        <w:rPr>
          <w:rFonts w:ascii="Times New Roman" w:hAnsi="Times New Roman" w:cs="Times New Roman"/>
          <w:i/>
          <w:sz w:val="24"/>
          <w:szCs w:val="24"/>
          <w:shd w:val="clear" w:color="auto" w:fill="FFFFFF"/>
        </w:rPr>
        <w:t xml:space="preserve"> Winterstein and others v France </w:t>
      </w:r>
      <w:r w:rsidRPr="00D65630">
        <w:rPr>
          <w:rFonts w:ascii="Times New Roman" w:hAnsi="Times New Roman" w:cs="Times New Roman"/>
          <w:sz w:val="24"/>
          <w:szCs w:val="24"/>
          <w:shd w:val="clear" w:color="auto" w:fill="FFFFFF"/>
        </w:rPr>
        <w:t xml:space="preserve">(Application No. 27013/07) 17 October 2013 </w:t>
      </w:r>
    </w:p>
    <w:p w:rsidR="00BC5C8B" w:rsidRPr="00D65630" w:rsidRDefault="00BC5C8B" w:rsidP="00D65630">
      <w:pPr>
        <w:pStyle w:val="NoSpacing"/>
        <w:spacing w:line="360" w:lineRule="auto"/>
        <w:rPr>
          <w:rFonts w:ascii="Times New Roman" w:eastAsia="Times New Roman" w:hAnsi="Times New Roman" w:cs="Times New Roman"/>
          <w:sz w:val="24"/>
          <w:szCs w:val="24"/>
        </w:rPr>
      </w:pPr>
    </w:p>
    <w:p w:rsidR="00BC5C8B" w:rsidRPr="00D65630" w:rsidRDefault="00BC5C8B" w:rsidP="00D65630">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rPr>
        <w:t xml:space="preserve">Inter-American Court of Human Rights, </w:t>
      </w:r>
      <w:r w:rsidRPr="00D65630">
        <w:rPr>
          <w:rStyle w:val="itemtitle"/>
          <w:rFonts w:ascii="Times New Roman" w:hAnsi="Times New Roman" w:cs="Times New Roman"/>
          <w:i/>
          <w:sz w:val="24"/>
          <w:szCs w:val="24"/>
        </w:rPr>
        <w:t xml:space="preserve">Saramaka People v Suriname Series, </w:t>
      </w:r>
      <w:r w:rsidRPr="00D65630">
        <w:rPr>
          <w:rStyle w:val="itemtitle"/>
          <w:rFonts w:ascii="Times New Roman" w:hAnsi="Times New Roman" w:cs="Times New Roman"/>
          <w:sz w:val="24"/>
          <w:szCs w:val="24"/>
        </w:rPr>
        <w:t xml:space="preserve">Communication No. 185(2008) 12 August 2008 </w:t>
      </w:r>
    </w:p>
    <w:p w:rsidR="00BC5C8B" w:rsidRPr="00D65630" w:rsidRDefault="00BC5C8B" w:rsidP="00D65630">
      <w:pPr>
        <w:pStyle w:val="NoSpacing"/>
        <w:spacing w:line="360" w:lineRule="auto"/>
        <w:rPr>
          <w:rFonts w:ascii="Times New Roman" w:hAnsi="Times New Roman" w:cs="Times New Roman"/>
          <w:sz w:val="24"/>
          <w:szCs w:val="24"/>
        </w:rPr>
      </w:pPr>
    </w:p>
    <w:p w:rsidR="00BC5C8B" w:rsidRPr="00D65630" w:rsidRDefault="00BC5C8B" w:rsidP="00D65630">
      <w:pPr>
        <w:pStyle w:val="NoSpacing"/>
        <w:spacing w:line="360" w:lineRule="auto"/>
        <w:rPr>
          <w:rFonts w:ascii="Times New Roman" w:hAnsi="Times New Roman" w:cs="Times New Roman"/>
          <w:b/>
          <w:sz w:val="24"/>
          <w:szCs w:val="24"/>
        </w:rPr>
      </w:pPr>
      <w:r w:rsidRPr="00D65630">
        <w:rPr>
          <w:rFonts w:ascii="Times New Roman" w:hAnsi="Times New Roman" w:cs="Times New Roman"/>
          <w:sz w:val="24"/>
          <w:szCs w:val="24"/>
        </w:rPr>
        <w:t xml:space="preserve">Inter-American Court of Human Rights, </w:t>
      </w:r>
      <w:r w:rsidRPr="00D65630">
        <w:rPr>
          <w:rStyle w:val="itemtitle"/>
          <w:rFonts w:ascii="Times New Roman" w:hAnsi="Times New Roman" w:cs="Times New Roman"/>
          <w:i/>
          <w:sz w:val="24"/>
          <w:szCs w:val="24"/>
        </w:rPr>
        <w:t>Sawhoyamaxa Indigenous Community of the Enxet-Lengua people v Paraguay,</w:t>
      </w:r>
      <w:r w:rsidRPr="00D65630">
        <w:rPr>
          <w:rStyle w:val="Strong"/>
          <w:rFonts w:ascii="Times New Roman" w:hAnsi="Times New Roman" w:cs="Times New Roman"/>
          <w:sz w:val="24"/>
          <w:szCs w:val="24"/>
          <w:shd w:val="clear" w:color="auto" w:fill="FFFFFF"/>
        </w:rPr>
        <w:t xml:space="preserve"> </w:t>
      </w:r>
      <w:r w:rsidRPr="00D65630">
        <w:rPr>
          <w:rStyle w:val="Strong"/>
          <w:rFonts w:ascii="Times New Roman" w:hAnsi="Times New Roman" w:cs="Times New Roman"/>
          <w:b w:val="0"/>
          <w:sz w:val="24"/>
          <w:szCs w:val="24"/>
          <w:shd w:val="clear" w:color="auto" w:fill="FFFFFF"/>
        </w:rPr>
        <w:t>Case No 12.313,</w:t>
      </w:r>
      <w:r w:rsidRPr="00D65630">
        <w:rPr>
          <w:rStyle w:val="apple-converted-space"/>
          <w:rFonts w:ascii="Times New Roman" w:hAnsi="Times New Roman" w:cs="Times New Roman"/>
          <w:sz w:val="24"/>
          <w:szCs w:val="24"/>
          <w:shd w:val="clear" w:color="auto" w:fill="FFFFFF"/>
        </w:rPr>
        <w:t xml:space="preserve"> (2002) </w:t>
      </w:r>
      <w:r w:rsidRPr="00D65630">
        <w:rPr>
          <w:rStyle w:val="itemtitle"/>
          <w:rFonts w:ascii="Times New Roman" w:hAnsi="Times New Roman" w:cs="Times New Roman"/>
          <w:sz w:val="24"/>
          <w:szCs w:val="24"/>
        </w:rPr>
        <w:t>29th March 2006</w:t>
      </w:r>
    </w:p>
    <w:p w:rsidR="00BC5C8B" w:rsidRPr="00D65630" w:rsidRDefault="00BC5C8B" w:rsidP="00D65630">
      <w:pPr>
        <w:pStyle w:val="NoSpacing"/>
        <w:spacing w:line="360" w:lineRule="auto"/>
        <w:rPr>
          <w:rStyle w:val="apple-converted-space"/>
        </w:rPr>
      </w:pPr>
    </w:p>
    <w:p w:rsidR="00BC5C8B" w:rsidRPr="00D65630" w:rsidRDefault="00BC5C8B" w:rsidP="00D65630">
      <w:pPr>
        <w:pStyle w:val="NoSpacing"/>
        <w:spacing w:line="360" w:lineRule="auto"/>
        <w:rPr>
          <w:rFonts w:ascii="Times New Roman" w:hAnsi="Times New Roman" w:cs="Times New Roman"/>
          <w:sz w:val="24"/>
          <w:szCs w:val="24"/>
          <w:shd w:val="clear" w:color="auto" w:fill="FFFFFF"/>
        </w:rPr>
      </w:pPr>
      <w:r w:rsidRPr="00D65630">
        <w:rPr>
          <w:rFonts w:ascii="Times New Roman" w:hAnsi="Times New Roman" w:cs="Times New Roman"/>
          <w:sz w:val="24"/>
          <w:szCs w:val="24"/>
        </w:rPr>
        <w:t xml:space="preserve">Inter-American Court of Human Rights, </w:t>
      </w:r>
      <w:r w:rsidR="007D698A" w:rsidRPr="00D65630">
        <w:rPr>
          <w:rFonts w:ascii="Times New Roman" w:hAnsi="Times New Roman" w:cs="Times New Roman"/>
          <w:sz w:val="24"/>
          <w:szCs w:val="24"/>
        </w:rPr>
        <w:fldChar w:fldCharType="begin"/>
      </w:r>
      <w:r w:rsidRPr="00D65630">
        <w:rPr>
          <w:rFonts w:ascii="Times New Roman" w:hAnsi="Times New Roman" w:cs="Times New Roman"/>
          <w:sz w:val="24"/>
          <w:szCs w:val="24"/>
        </w:rPr>
        <w:instrText xml:space="preserve"> TA \s "The Centre for Minority Rights Development (Kenya) and Minority Rights Group International on behalf of Endorois Welfare Council v Kenya, 276/2003" </w:instrText>
      </w:r>
      <w:r w:rsidR="007D698A" w:rsidRPr="00D65630">
        <w:rPr>
          <w:rFonts w:ascii="Times New Roman" w:hAnsi="Times New Roman" w:cs="Times New Roman"/>
          <w:sz w:val="24"/>
          <w:szCs w:val="24"/>
        </w:rPr>
        <w:fldChar w:fldCharType="end"/>
      </w:r>
      <w:r w:rsidRPr="00D65630">
        <w:rPr>
          <w:rFonts w:ascii="Times New Roman" w:hAnsi="Times New Roman" w:cs="Times New Roman"/>
          <w:bCs/>
          <w:i/>
          <w:sz w:val="24"/>
          <w:szCs w:val="24"/>
          <w:shd w:val="clear" w:color="auto" w:fill="FFFFFF"/>
        </w:rPr>
        <w:t>Mayagna (Sumo) Awas Tingni Community v. Nicaragua</w:t>
      </w:r>
      <w:r w:rsidRPr="00D65630">
        <w:rPr>
          <w:rFonts w:ascii="Times New Roman" w:hAnsi="Times New Roman" w:cs="Times New Roman"/>
          <w:bCs/>
          <w:sz w:val="24"/>
          <w:szCs w:val="24"/>
          <w:shd w:val="clear" w:color="auto" w:fill="FFFFFF"/>
        </w:rPr>
        <w:t xml:space="preserve">, Judgment of August 31, 2001, (Ser. C) No. 79 (2001) </w:t>
      </w:r>
    </w:p>
    <w:p w:rsidR="00BC5C8B" w:rsidRPr="00D65630" w:rsidRDefault="00BC5C8B" w:rsidP="00D65630">
      <w:pPr>
        <w:pStyle w:val="NoSpacing"/>
        <w:spacing w:line="360" w:lineRule="auto"/>
        <w:rPr>
          <w:rFonts w:ascii="Times New Roman" w:eastAsia="Times New Roman" w:hAnsi="Times New Roman" w:cs="Times New Roman"/>
          <w:sz w:val="24"/>
          <w:szCs w:val="24"/>
        </w:rPr>
      </w:pPr>
    </w:p>
    <w:p w:rsidR="00BC5C8B" w:rsidRPr="00D65630" w:rsidRDefault="00BC5C8B" w:rsidP="00D65630">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rPr>
        <w:t xml:space="preserve">Inter-American Court of Human Rights, </w:t>
      </w:r>
      <w:r w:rsidRPr="00D65630">
        <w:rPr>
          <w:rFonts w:ascii="Times New Roman" w:hAnsi="Times New Roman" w:cs="Times New Roman"/>
          <w:i/>
          <w:sz w:val="24"/>
          <w:szCs w:val="24"/>
        </w:rPr>
        <w:t>Yakye Axa Indigenous Community v. Paraguay</w:t>
      </w:r>
      <w:r w:rsidRPr="00D65630">
        <w:rPr>
          <w:rFonts w:ascii="Times New Roman" w:hAnsi="Times New Roman" w:cs="Times New Roman"/>
          <w:sz w:val="24"/>
          <w:szCs w:val="24"/>
        </w:rPr>
        <w:t>, Serial.C 125 (27 February 2002)</w:t>
      </w:r>
    </w:p>
    <w:p w:rsidR="00BC5C8B" w:rsidRPr="00D65630" w:rsidRDefault="00BC5C8B" w:rsidP="00D65630">
      <w:pPr>
        <w:pStyle w:val="NoSpacing"/>
        <w:spacing w:line="360" w:lineRule="auto"/>
        <w:rPr>
          <w:rFonts w:ascii="Times New Roman" w:eastAsia="Times New Roman" w:hAnsi="Times New Roman" w:cs="Times New Roman"/>
          <w:sz w:val="24"/>
          <w:szCs w:val="24"/>
        </w:rPr>
      </w:pPr>
    </w:p>
    <w:p w:rsidR="00BC5C8B" w:rsidRPr="00D65630" w:rsidRDefault="00BC5C8B" w:rsidP="00D65630">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rPr>
        <w:t xml:space="preserve">Inter-American Court of Human Rights, </w:t>
      </w:r>
      <w:r w:rsidRPr="00D65630">
        <w:rPr>
          <w:rFonts w:ascii="Times New Roman" w:hAnsi="Times New Roman" w:cs="Times New Roman"/>
          <w:i/>
          <w:sz w:val="24"/>
          <w:szCs w:val="24"/>
        </w:rPr>
        <w:t>Yanomami Community v. Brazil</w:t>
      </w:r>
      <w:r w:rsidRPr="00D65630">
        <w:rPr>
          <w:rFonts w:ascii="Times New Roman" w:hAnsi="Times New Roman" w:cs="Times New Roman"/>
          <w:sz w:val="24"/>
          <w:szCs w:val="24"/>
        </w:rPr>
        <w:t xml:space="preserve">, Case No. 7615 (5th March 1985) </w:t>
      </w:r>
    </w:p>
    <w:p w:rsidR="00BC5C8B" w:rsidRPr="00D65630" w:rsidRDefault="00BC5C8B" w:rsidP="00D65630">
      <w:pPr>
        <w:pStyle w:val="NoSpacing"/>
        <w:spacing w:line="360" w:lineRule="auto"/>
        <w:rPr>
          <w:rFonts w:ascii="Times New Roman" w:eastAsia="Times New Roman" w:hAnsi="Times New Roman" w:cs="Times New Roman"/>
          <w:sz w:val="24"/>
          <w:szCs w:val="24"/>
        </w:rPr>
      </w:pPr>
    </w:p>
    <w:p w:rsidR="00BC5C8B" w:rsidRPr="00D65630" w:rsidRDefault="00BC5C8B" w:rsidP="00D65630">
      <w:pPr>
        <w:pStyle w:val="NoSpacing"/>
        <w:spacing w:line="360" w:lineRule="auto"/>
        <w:rPr>
          <w:rFonts w:ascii="Times New Roman" w:eastAsia="Times New Roman" w:hAnsi="Times New Roman" w:cs="Times New Roman"/>
          <w:sz w:val="24"/>
          <w:szCs w:val="24"/>
        </w:rPr>
      </w:pPr>
      <w:r w:rsidRPr="00D65630">
        <w:rPr>
          <w:rFonts w:ascii="Times New Roman" w:eastAsia="Times New Roman" w:hAnsi="Times New Roman" w:cs="Times New Roman"/>
          <w:sz w:val="24"/>
          <w:szCs w:val="24"/>
        </w:rPr>
        <w:t>United</w:t>
      </w:r>
      <w:r w:rsidR="00175FE3">
        <w:rPr>
          <w:rFonts w:ascii="Times New Roman" w:eastAsia="Times New Roman" w:hAnsi="Times New Roman" w:cs="Times New Roman"/>
          <w:sz w:val="24"/>
          <w:szCs w:val="24"/>
        </w:rPr>
        <w:t xml:space="preserve"> Nations</w:t>
      </w:r>
      <w:r w:rsidRPr="00D65630">
        <w:rPr>
          <w:rFonts w:ascii="Times New Roman" w:eastAsia="Times New Roman" w:hAnsi="Times New Roman" w:cs="Times New Roman"/>
          <w:sz w:val="24"/>
          <w:szCs w:val="24"/>
        </w:rPr>
        <w:t xml:space="preserve"> Human Rights Committee,</w:t>
      </w:r>
      <w:r w:rsidRPr="00D65630">
        <w:rPr>
          <w:rFonts w:ascii="Times New Roman" w:eastAsia="Times New Roman" w:hAnsi="Times New Roman" w:cs="Times New Roman"/>
          <w:i/>
          <w:sz w:val="24"/>
          <w:szCs w:val="24"/>
        </w:rPr>
        <w:t xml:space="preserve"> Lubicon Lake Band v. Canada</w:t>
      </w:r>
      <w:r w:rsidRPr="00D65630">
        <w:rPr>
          <w:rFonts w:ascii="Times New Roman" w:eastAsia="Times New Roman" w:hAnsi="Times New Roman" w:cs="Times New Roman"/>
          <w:sz w:val="24"/>
          <w:szCs w:val="24"/>
        </w:rPr>
        <w:t xml:space="preserve">, Communication No. 167/1984 (26 March 1990) </w:t>
      </w:r>
    </w:p>
    <w:p w:rsidR="00BC5C8B" w:rsidRPr="00D65630" w:rsidRDefault="00BC5C8B" w:rsidP="00D65630">
      <w:pPr>
        <w:pStyle w:val="NoSpacing"/>
        <w:spacing w:line="360" w:lineRule="auto"/>
        <w:rPr>
          <w:rFonts w:ascii="Times New Roman" w:eastAsia="Times New Roman" w:hAnsi="Times New Roman" w:cs="Times New Roman"/>
          <w:sz w:val="24"/>
          <w:szCs w:val="24"/>
        </w:rPr>
      </w:pPr>
    </w:p>
    <w:p w:rsidR="00BC5C8B" w:rsidRPr="00D65630" w:rsidRDefault="00BC5C8B" w:rsidP="00D65630">
      <w:pPr>
        <w:spacing w:line="360" w:lineRule="auto"/>
        <w:rPr>
          <w:rFonts w:ascii="Times New Roman" w:hAnsi="Times New Roman" w:cs="Times New Roman"/>
          <w:b/>
          <w:sz w:val="24"/>
          <w:szCs w:val="24"/>
        </w:rPr>
      </w:pPr>
      <w:r w:rsidRPr="00D65630">
        <w:rPr>
          <w:rFonts w:ascii="Times New Roman" w:hAnsi="Times New Roman" w:cs="Times New Roman"/>
          <w:i/>
          <w:sz w:val="24"/>
          <w:szCs w:val="24"/>
        </w:rPr>
        <w:t xml:space="preserve">The </w:t>
      </w:r>
      <w:r w:rsidRPr="00D65630">
        <w:rPr>
          <w:rFonts w:ascii="Times New Roman" w:hAnsi="Times New Roman" w:cs="Times New Roman"/>
          <w:i/>
          <w:sz w:val="24"/>
          <w:szCs w:val="24"/>
          <w:shd w:val="clear" w:color="auto" w:fill="FFFFFF"/>
        </w:rPr>
        <w:t>Centre for Minority Rights Development (Kenya) and Minority Rights Group International on behalf of Endorois Welfare Council v Kenya, 276/2003</w:t>
      </w:r>
      <w:r w:rsidRPr="00D65630">
        <w:rPr>
          <w:rFonts w:ascii="Times New Roman" w:hAnsi="Times New Roman" w:cs="Times New Roman"/>
          <w:sz w:val="24"/>
          <w:szCs w:val="24"/>
          <w:shd w:val="clear" w:color="auto" w:fill="FFFFFF"/>
        </w:rPr>
        <w:t xml:space="preserve"> (“Endorois Case”)  </w:t>
      </w:r>
    </w:p>
    <w:p w:rsidR="00BC5C8B" w:rsidRPr="00D65630" w:rsidRDefault="009E6D96" w:rsidP="00D65630">
      <w:pPr>
        <w:spacing w:after="0" w:line="360" w:lineRule="auto"/>
        <w:rPr>
          <w:rFonts w:ascii="Times New Roman" w:eastAsia="Times New Roman" w:hAnsi="Times New Roman" w:cs="Times New Roman"/>
          <w:sz w:val="24"/>
          <w:szCs w:val="24"/>
        </w:rPr>
      </w:pPr>
      <w:r w:rsidRPr="009E6D96">
        <w:rPr>
          <w:rFonts w:ascii="Times New Roman" w:hAnsi="Times New Roman" w:cs="Times New Roman"/>
          <w:sz w:val="24"/>
          <w:szCs w:val="24"/>
        </w:rPr>
        <w:t>Supreme Court of Canada</w:t>
      </w:r>
      <w:r>
        <w:rPr>
          <w:rFonts w:ascii="Times New Roman" w:hAnsi="Times New Roman" w:cs="Times New Roman"/>
          <w:i/>
          <w:sz w:val="24"/>
          <w:szCs w:val="24"/>
        </w:rPr>
        <w:t xml:space="preserve"> </w:t>
      </w:r>
      <w:r w:rsidR="00BC5C8B" w:rsidRPr="009E6D96">
        <w:rPr>
          <w:rFonts w:ascii="Times New Roman" w:hAnsi="Times New Roman" w:cs="Times New Roman"/>
          <w:i/>
          <w:sz w:val="24"/>
          <w:szCs w:val="24"/>
        </w:rPr>
        <w:t>Tsilhqot’in Nation v. British Columbia</w:t>
      </w:r>
      <w:r w:rsidR="00BC5C8B" w:rsidRPr="009E6D96">
        <w:rPr>
          <w:rFonts w:ascii="Times New Roman" w:hAnsi="Times New Roman" w:cs="Times New Roman"/>
          <w:sz w:val="24"/>
          <w:szCs w:val="24"/>
        </w:rPr>
        <w:t>, 2014 SCC 44 (CanLII)</w:t>
      </w:r>
    </w:p>
    <w:p w:rsidR="00BC5C8B" w:rsidRPr="00D65630" w:rsidRDefault="00BC5C8B" w:rsidP="00D65630">
      <w:pPr>
        <w:spacing w:after="0" w:line="360" w:lineRule="auto"/>
        <w:rPr>
          <w:rFonts w:ascii="Times New Roman" w:hAnsi="Times New Roman" w:cs="Times New Roman"/>
          <w:sz w:val="24"/>
          <w:szCs w:val="24"/>
        </w:rPr>
      </w:pPr>
    </w:p>
    <w:p w:rsidR="00BC5C8B" w:rsidRPr="00D65630" w:rsidRDefault="009E6D96" w:rsidP="00D65630">
      <w:pPr>
        <w:pStyle w:val="NoSpacing"/>
        <w:spacing w:line="360" w:lineRule="auto"/>
        <w:rPr>
          <w:rFonts w:ascii="Times New Roman" w:hAnsi="Times New Roman" w:cs="Times New Roman"/>
          <w:sz w:val="24"/>
          <w:szCs w:val="24"/>
        </w:rPr>
      </w:pPr>
      <w:r w:rsidRPr="009E6D96">
        <w:rPr>
          <w:rFonts w:ascii="Times New Roman" w:hAnsi="Times New Roman" w:cs="Times New Roman"/>
          <w:bCs/>
          <w:color w:val="252525"/>
          <w:sz w:val="24"/>
          <w:szCs w:val="24"/>
          <w:shd w:val="clear" w:color="auto" w:fill="FFFFFF"/>
        </w:rPr>
        <w:t>United States Court of Appeals for the Second Circuit</w:t>
      </w:r>
      <w:r>
        <w:rPr>
          <w:rFonts w:ascii="Arial" w:hAnsi="Arial" w:cs="Arial"/>
          <w:b/>
          <w:bCs/>
          <w:color w:val="252525"/>
          <w:sz w:val="29"/>
          <w:szCs w:val="29"/>
          <w:shd w:val="clear" w:color="auto" w:fill="FFFFFF"/>
        </w:rPr>
        <w:t xml:space="preserve"> </w:t>
      </w:r>
      <w:r w:rsidR="00BC5C8B" w:rsidRPr="00D65630">
        <w:rPr>
          <w:rFonts w:ascii="Times New Roman" w:hAnsi="Times New Roman" w:cs="Times New Roman"/>
          <w:i/>
          <w:sz w:val="24"/>
          <w:szCs w:val="24"/>
        </w:rPr>
        <w:t>Wiwa v. Royal Dutch Petroleum</w:t>
      </w:r>
      <w:r w:rsidR="00BC5C8B" w:rsidRPr="00D65630">
        <w:rPr>
          <w:rFonts w:ascii="Times New Roman" w:hAnsi="Times New Roman" w:cs="Times New Roman"/>
          <w:sz w:val="24"/>
          <w:szCs w:val="24"/>
        </w:rPr>
        <w:t xml:space="preserve"> Co., 226 F.3d 88 (2d Cir. 2000)</w:t>
      </w:r>
    </w:p>
    <w:p w:rsidR="00BC5C8B" w:rsidRPr="00D65630" w:rsidRDefault="00BC5C8B" w:rsidP="00BC5C8B">
      <w:pPr>
        <w:spacing w:after="0" w:line="240" w:lineRule="auto"/>
        <w:rPr>
          <w:rFonts w:ascii="Times New Roman" w:hAnsi="Times New Roman" w:cs="Times New Roman"/>
          <w:sz w:val="24"/>
          <w:szCs w:val="24"/>
        </w:rPr>
      </w:pPr>
    </w:p>
    <w:p w:rsidR="00BC5C8B" w:rsidRPr="00D65630" w:rsidRDefault="00BC5C8B" w:rsidP="00BC5C8B">
      <w:pPr>
        <w:pStyle w:val="NoSpacing"/>
        <w:spacing w:line="360" w:lineRule="auto"/>
        <w:rPr>
          <w:rFonts w:ascii="Times New Roman" w:hAnsi="Times New Roman" w:cs="Times New Roman"/>
          <w:sz w:val="24"/>
          <w:szCs w:val="24"/>
        </w:rPr>
      </w:pPr>
    </w:p>
    <w:p w:rsidR="00BC5C8B" w:rsidRDefault="00BC5C8B" w:rsidP="00BB2D76">
      <w:pPr>
        <w:pStyle w:val="Heading1"/>
      </w:pPr>
      <w:bookmarkStart w:id="1" w:name="_Toc399848334"/>
      <w:r>
        <w:t>Table of Statutes</w:t>
      </w:r>
      <w:bookmarkEnd w:id="1"/>
      <w:r>
        <w:t xml:space="preserve"> </w:t>
      </w:r>
    </w:p>
    <w:p w:rsidR="00BC5C8B" w:rsidRPr="00254C2D" w:rsidRDefault="00BC5C8B" w:rsidP="00BC5C8B">
      <w:pPr>
        <w:spacing w:line="360" w:lineRule="auto"/>
        <w:rPr>
          <w:rFonts w:ascii="Times New Roman" w:hAnsi="Times New Roman" w:cs="Times New Roman"/>
          <w:b/>
          <w:sz w:val="28"/>
          <w:szCs w:val="28"/>
          <w:u w:val="single"/>
        </w:rPr>
      </w:pPr>
      <w:r w:rsidRPr="006412ED">
        <w:rPr>
          <w:rFonts w:ascii="Times New Roman" w:hAnsi="Times New Roman" w:cs="Times New Roman"/>
          <w:color w:val="000000"/>
          <w:sz w:val="24"/>
          <w:szCs w:val="24"/>
          <w:shd w:val="clear" w:color="auto" w:fill="FFFFFF"/>
        </w:rPr>
        <w:t>Statute of the International Court of Justice, 1945-10-24, 39 AJIL Supp. 215 (1945</w:t>
      </w:r>
      <w:r>
        <w:rPr>
          <w:rFonts w:ascii="Times New Roman" w:hAnsi="Times New Roman" w:cs="Times New Roman"/>
          <w:color w:val="000000"/>
          <w:sz w:val="24"/>
          <w:szCs w:val="24"/>
          <w:shd w:val="clear" w:color="auto" w:fill="FFFFFF"/>
        </w:rPr>
        <w:t>)</w:t>
      </w:r>
    </w:p>
    <w:p w:rsidR="009E6D96" w:rsidRDefault="009E6D96">
      <w:pPr>
        <w:rPr>
          <w:rStyle w:val="a"/>
        </w:rPr>
      </w:pPr>
      <w:r>
        <w:rPr>
          <w:rStyle w:val="a"/>
          <w:szCs w:val="24"/>
          <w:bdr w:val="none" w:sz="0" w:space="0" w:color="auto" w:frame="1"/>
          <w:shd w:val="clear" w:color="auto" w:fill="FFFFFF"/>
        </w:rPr>
        <w:br w:type="page"/>
      </w:r>
    </w:p>
    <w:p w:rsidR="00BB2D76" w:rsidRPr="00BB2D76" w:rsidRDefault="00BB2D76" w:rsidP="00BB2D76">
      <w:pPr>
        <w:pStyle w:val="Heading1"/>
        <w:rPr>
          <w:rStyle w:val="a"/>
          <w:rFonts w:asciiTheme="minorHAnsi" w:eastAsiaTheme="minorEastAsia" w:hAnsiTheme="minorHAnsi" w:cstheme="minorBidi"/>
          <w:b w:val="0"/>
          <w:bCs w:val="0"/>
          <w:color w:val="auto"/>
          <w:sz w:val="20"/>
          <w:szCs w:val="22"/>
        </w:rPr>
      </w:pPr>
      <w:bookmarkStart w:id="2" w:name="_Toc399848335"/>
      <w:r w:rsidRPr="00BB2D76">
        <w:rPr>
          <w:rStyle w:val="a"/>
          <w:szCs w:val="24"/>
          <w:bdr w:val="none" w:sz="0" w:space="0" w:color="auto" w:frame="1"/>
          <w:shd w:val="clear" w:color="auto" w:fill="FFFFFF"/>
        </w:rPr>
        <w:t>Abbreviations</w:t>
      </w:r>
      <w:bookmarkEnd w:id="2"/>
    </w:p>
    <w:p w:rsidR="00BB2D76" w:rsidRPr="00905222" w:rsidRDefault="00BB2D76" w:rsidP="00BB2D76">
      <w:pPr>
        <w:spacing w:line="360" w:lineRule="auto"/>
        <w:rPr>
          <w:rStyle w:val="a"/>
          <w:rFonts w:ascii="Times New Roman" w:eastAsiaTheme="majorEastAsia" w:hAnsi="Times New Roman" w:cstheme="majorBidi"/>
          <w:b/>
          <w:bCs/>
          <w:color w:val="365F91" w:themeColor="accent1" w:themeShade="BF"/>
          <w:sz w:val="36"/>
          <w:szCs w:val="28"/>
        </w:rPr>
      </w:pPr>
      <w:r>
        <w:rPr>
          <w:rStyle w:val="a"/>
          <w:rFonts w:ascii="Times New Roman" w:hAnsi="Times New Roman" w:cs="Times New Roman"/>
          <w:sz w:val="24"/>
          <w:szCs w:val="24"/>
          <w:bdr w:val="none" w:sz="0" w:space="0" w:color="auto" w:frame="1"/>
          <w:shd w:val="clear" w:color="auto" w:fill="FFFFFF"/>
        </w:rPr>
        <w:t>ACHPR (African Charter on Human and Peoples’ Rights)</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ACTA (Alien Tort Claims Act)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CERD (Committee on the Elimination of Racial Discrimination)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ECtHR (European Court of Human Rights) </w:t>
      </w:r>
    </w:p>
    <w:p w:rsidR="00BB2D76"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EMRIP (Expert Mechanism on t</w:t>
      </w:r>
      <w:r>
        <w:rPr>
          <w:rStyle w:val="a"/>
          <w:rFonts w:ascii="Times New Roman" w:hAnsi="Times New Roman" w:cs="Times New Roman"/>
          <w:sz w:val="24"/>
          <w:szCs w:val="24"/>
          <w:bdr w:val="none" w:sz="0" w:space="0" w:color="auto" w:frame="1"/>
          <w:shd w:val="clear" w:color="auto" w:fill="FFFFFF"/>
        </w:rPr>
        <w:t>he Rights of Indigenous Peoples)</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FPIC (Free, Prior and Informed Consent)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HRC (Human Rights Committee)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IACHR (Inter-American Convention of Human Rights)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IACmHR (Inter-American Commission on Human Rights)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IACtHR (Inter-American Court of Human Rights)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ICCPR (International Covenant on Civil and Political R</w:t>
      </w:r>
      <w:r>
        <w:rPr>
          <w:rStyle w:val="a"/>
          <w:rFonts w:ascii="Times New Roman" w:hAnsi="Times New Roman" w:cs="Times New Roman"/>
          <w:sz w:val="24"/>
          <w:szCs w:val="24"/>
          <w:bdr w:val="none" w:sz="0" w:space="0" w:color="auto" w:frame="1"/>
          <w:shd w:val="clear" w:color="auto" w:fill="FFFFFF"/>
        </w:rPr>
        <w:t>ights)</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ILA (International Law Association)</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INPs (Indigenous Nomadic Peoples)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IWGIA (International Work Group for Indigenous Affairs)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LDCs (less developed countries)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LTRs (Land, Territories and Resources)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NGO (</w:t>
      </w:r>
      <w:r w:rsidR="002F1C58" w:rsidRPr="00905222">
        <w:rPr>
          <w:rStyle w:val="a"/>
          <w:rFonts w:ascii="Times New Roman" w:hAnsi="Times New Roman" w:cs="Times New Roman"/>
          <w:sz w:val="24"/>
          <w:szCs w:val="24"/>
          <w:bdr w:val="none" w:sz="0" w:space="0" w:color="auto" w:frame="1"/>
          <w:shd w:val="clear" w:color="auto" w:fill="FFFFFF"/>
        </w:rPr>
        <w:t>Non-Governmental</w:t>
      </w:r>
      <w:r w:rsidRPr="00905222">
        <w:rPr>
          <w:rStyle w:val="a"/>
          <w:rFonts w:ascii="Times New Roman" w:hAnsi="Times New Roman" w:cs="Times New Roman"/>
          <w:sz w:val="24"/>
          <w:szCs w:val="24"/>
          <w:bdr w:val="none" w:sz="0" w:space="0" w:color="auto" w:frame="1"/>
          <w:shd w:val="clear" w:color="auto" w:fill="FFFFFF"/>
        </w:rPr>
        <w:t xml:space="preserve"> Organisation)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UNDHR (United Nations Declaration of Human Rights)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UNDRIP (United Nations Declaration on the Rights of Ind</w:t>
      </w:r>
      <w:r>
        <w:rPr>
          <w:rStyle w:val="a"/>
          <w:rFonts w:ascii="Times New Roman" w:hAnsi="Times New Roman" w:cs="Times New Roman"/>
          <w:sz w:val="24"/>
          <w:szCs w:val="24"/>
          <w:bdr w:val="none" w:sz="0" w:space="0" w:color="auto" w:frame="1"/>
          <w:shd w:val="clear" w:color="auto" w:fill="FFFFFF"/>
        </w:rPr>
        <w:t xml:space="preserve">igenous Peoples) </w:t>
      </w:r>
    </w:p>
    <w:p w:rsidR="00BB2D76" w:rsidRPr="00905222" w:rsidRDefault="00BB2D76" w:rsidP="00BB2D76">
      <w:pPr>
        <w:rPr>
          <w:rStyle w:val="a"/>
        </w:rPr>
      </w:pPr>
      <w:r w:rsidRPr="00905222">
        <w:rPr>
          <w:rStyle w:val="a"/>
          <w:rFonts w:ascii="Times New Roman" w:hAnsi="Times New Roman" w:cs="Times New Roman"/>
          <w:sz w:val="24"/>
          <w:szCs w:val="24"/>
          <w:bdr w:val="none" w:sz="0" w:space="0" w:color="auto" w:frame="1"/>
          <w:shd w:val="clear" w:color="auto" w:fill="FFFFFF"/>
        </w:rPr>
        <w:t xml:space="preserve">UNPFII (UN Permanent Forum on Indigenous Issues) </w:t>
      </w:r>
    </w:p>
    <w:p w:rsidR="00385A99" w:rsidRDefault="00385A99" w:rsidP="00BB2D76">
      <w:pPr>
        <w:pStyle w:val="Heading1"/>
        <w:rPr>
          <w:rStyle w:val="a"/>
          <w:rFonts w:asciiTheme="minorHAnsi" w:eastAsiaTheme="minorEastAsia" w:hAnsiTheme="minorHAnsi" w:cstheme="minorBidi"/>
          <w:b w:val="0"/>
          <w:bCs w:val="0"/>
          <w:color w:val="auto"/>
          <w:sz w:val="20"/>
          <w:szCs w:val="22"/>
        </w:rPr>
      </w:pPr>
      <w:r>
        <w:rPr>
          <w:rStyle w:val="a"/>
          <w:szCs w:val="18"/>
          <w:bdr w:val="none" w:sz="0" w:space="0" w:color="auto" w:frame="1"/>
          <w:shd w:val="clear" w:color="auto" w:fill="FFFFFF"/>
        </w:rPr>
        <w:br w:type="page"/>
      </w:r>
      <w:bookmarkStart w:id="3" w:name="_Toc399848336"/>
      <w:r w:rsidRPr="00BB2D76">
        <w:rPr>
          <w:rStyle w:val="a"/>
          <w:szCs w:val="18"/>
          <w:bdr w:val="none" w:sz="0" w:space="0" w:color="auto" w:frame="1"/>
          <w:shd w:val="clear" w:color="auto" w:fill="FFFFFF"/>
        </w:rPr>
        <w:t>Ab</w:t>
      </w:r>
      <w:r w:rsidR="00120565" w:rsidRPr="00BB2D76">
        <w:rPr>
          <w:rStyle w:val="a"/>
          <w:szCs w:val="18"/>
          <w:bdr w:val="none" w:sz="0" w:space="0" w:color="auto" w:frame="1"/>
          <w:shd w:val="clear" w:color="auto" w:fill="FFFFFF"/>
        </w:rPr>
        <w:t>stract</w:t>
      </w:r>
      <w:bookmarkEnd w:id="3"/>
    </w:p>
    <w:p w:rsidR="00175FE3" w:rsidRDefault="00175FE3" w:rsidP="00175FE3"/>
    <w:p w:rsidR="00175FE3" w:rsidRPr="00D00749" w:rsidRDefault="00175FE3" w:rsidP="00D00749">
      <w:pPr>
        <w:spacing w:line="360" w:lineRule="auto"/>
        <w:rPr>
          <w:rFonts w:ascii="Times New Roman" w:hAnsi="Times New Roman" w:cs="Times New Roman"/>
          <w:sz w:val="24"/>
          <w:szCs w:val="24"/>
        </w:rPr>
      </w:pPr>
      <w:r w:rsidRPr="00D00749">
        <w:rPr>
          <w:rFonts w:ascii="Times New Roman" w:hAnsi="Times New Roman" w:cs="Times New Roman"/>
          <w:sz w:val="24"/>
          <w:szCs w:val="24"/>
        </w:rPr>
        <w:t>Every year, hundreds of thousands of people, perhaps even millions, are forcibly displaced to make way for development projects. Although accurate figures are</w:t>
      </w:r>
      <w:r w:rsidRPr="00D00749">
        <w:rPr>
          <w:rStyle w:val="a"/>
          <w:rFonts w:ascii="Times New Roman" w:hAnsi="Times New Roman" w:cs="Times New Roman"/>
          <w:color w:val="231F20"/>
          <w:spacing w:val="19"/>
          <w:sz w:val="24"/>
          <w:szCs w:val="24"/>
          <w:bdr w:val="none" w:sz="0" w:space="0" w:color="auto" w:frame="1"/>
          <w:shd w:val="clear" w:color="auto" w:fill="FFFFFF"/>
        </w:rPr>
        <w:t xml:space="preserve"> difficult to determine for a range reasons as to how many are displaced, it is </w:t>
      </w:r>
      <w:r w:rsidRPr="00D00749">
        <w:rPr>
          <w:rFonts w:ascii="Times New Roman" w:hAnsi="Times New Roman" w:cs="Times New Roman"/>
          <w:sz w:val="24"/>
          <w:szCs w:val="24"/>
        </w:rPr>
        <w:t xml:space="preserve">reasonable to presume that a large proportion of them are made up of indigenous peoples. </w:t>
      </w:r>
      <w:r w:rsidR="000B6BE3" w:rsidRPr="00D00749">
        <w:rPr>
          <w:rFonts w:ascii="Times New Roman" w:hAnsi="Times New Roman" w:cs="Times New Roman"/>
          <w:sz w:val="24"/>
          <w:szCs w:val="24"/>
        </w:rPr>
        <w:t>Moreover, the</w:t>
      </w:r>
      <w:r w:rsidRPr="00D00749">
        <w:rPr>
          <w:rFonts w:ascii="Times New Roman" w:hAnsi="Times New Roman" w:cs="Times New Roman"/>
          <w:sz w:val="24"/>
          <w:szCs w:val="24"/>
        </w:rPr>
        <w:t xml:space="preserve"> majority of those are displaced by large scale projects such as hydroelectric dams, industrial logging, and perhaps most egregiously</w:t>
      </w:r>
      <w:r w:rsidR="000B6BE3" w:rsidRPr="00D00749">
        <w:rPr>
          <w:rFonts w:ascii="Times New Roman" w:hAnsi="Times New Roman" w:cs="Times New Roman"/>
          <w:sz w:val="24"/>
          <w:szCs w:val="24"/>
        </w:rPr>
        <w:t xml:space="preserve"> of all</w:t>
      </w:r>
      <w:r w:rsidRPr="00D00749">
        <w:rPr>
          <w:rFonts w:ascii="Times New Roman" w:hAnsi="Times New Roman" w:cs="Times New Roman"/>
          <w:sz w:val="24"/>
          <w:szCs w:val="24"/>
        </w:rPr>
        <w:t>, by the global extractive industry. At present, few studies</w:t>
      </w:r>
      <w:r w:rsidRPr="00D00749">
        <w:rPr>
          <w:rStyle w:val="a"/>
          <w:rFonts w:ascii="Times New Roman" w:hAnsi="Times New Roman" w:cs="Times New Roman"/>
          <w:color w:val="231F20"/>
          <w:spacing w:val="19"/>
          <w:sz w:val="24"/>
          <w:szCs w:val="24"/>
          <w:bdr w:val="none" w:sz="0" w:space="0" w:color="auto" w:frame="1"/>
          <w:shd w:val="clear" w:color="auto" w:fill="FFFFFF"/>
        </w:rPr>
        <w:t xml:space="preserve"> </w:t>
      </w:r>
      <w:r w:rsidRPr="00D00749">
        <w:rPr>
          <w:rFonts w:ascii="Times New Roman" w:hAnsi="Times New Roman" w:cs="Times New Roman"/>
          <w:sz w:val="24"/>
          <w:szCs w:val="24"/>
        </w:rPr>
        <w:t>have been made</w:t>
      </w:r>
      <w:r w:rsidR="000B6BE3" w:rsidRPr="00D00749">
        <w:rPr>
          <w:rFonts w:ascii="Times New Roman" w:hAnsi="Times New Roman" w:cs="Times New Roman"/>
          <w:sz w:val="24"/>
          <w:szCs w:val="24"/>
        </w:rPr>
        <w:t xml:space="preserve"> of the right of indigenous peoples not to be displaced specifically by these factors. Nation states jealously guard the sovereign right to develop on the lands and te</w:t>
      </w:r>
      <w:r w:rsidR="006B22A3">
        <w:rPr>
          <w:rFonts w:ascii="Times New Roman" w:hAnsi="Times New Roman" w:cs="Times New Roman"/>
          <w:sz w:val="24"/>
          <w:szCs w:val="24"/>
        </w:rPr>
        <w:t>rritories of indigenous peoples.</w:t>
      </w:r>
      <w:r w:rsidR="000B6BE3" w:rsidRPr="00D00749">
        <w:rPr>
          <w:rFonts w:ascii="Times New Roman" w:hAnsi="Times New Roman" w:cs="Times New Roman"/>
          <w:sz w:val="24"/>
          <w:szCs w:val="24"/>
        </w:rPr>
        <w:t xml:space="preserve"> </w:t>
      </w:r>
      <w:r w:rsidR="006B22A3" w:rsidRPr="00D00749">
        <w:rPr>
          <w:rFonts w:ascii="Times New Roman" w:hAnsi="Times New Roman" w:cs="Times New Roman"/>
          <w:sz w:val="24"/>
          <w:szCs w:val="24"/>
        </w:rPr>
        <w:t>Almost</w:t>
      </w:r>
      <w:r w:rsidR="000B6BE3" w:rsidRPr="00D00749">
        <w:rPr>
          <w:rFonts w:ascii="Times New Roman" w:hAnsi="Times New Roman" w:cs="Times New Roman"/>
          <w:sz w:val="24"/>
          <w:szCs w:val="24"/>
        </w:rPr>
        <w:t xml:space="preserve"> always the justifying rationale for development, and as a consequence displacement, is </w:t>
      </w:r>
      <w:r w:rsidR="001D4EDA" w:rsidRPr="00D00749">
        <w:rPr>
          <w:rFonts w:ascii="Times New Roman" w:hAnsi="Times New Roman" w:cs="Times New Roman"/>
          <w:sz w:val="24"/>
          <w:szCs w:val="24"/>
        </w:rPr>
        <w:t>that of the “public</w:t>
      </w:r>
      <w:r w:rsidR="006B22A3">
        <w:rPr>
          <w:rFonts w:ascii="Times New Roman" w:hAnsi="Times New Roman" w:cs="Times New Roman"/>
          <w:sz w:val="24"/>
          <w:szCs w:val="24"/>
        </w:rPr>
        <w:t xml:space="preserve"> interest</w:t>
      </w:r>
      <w:r w:rsidR="00D307FB" w:rsidRPr="00D00749">
        <w:rPr>
          <w:rFonts w:ascii="Times New Roman" w:hAnsi="Times New Roman" w:cs="Times New Roman"/>
          <w:sz w:val="24"/>
          <w:szCs w:val="24"/>
        </w:rPr>
        <w:t>” or “the national interest”,</w:t>
      </w:r>
      <w:r w:rsidR="001D4EDA" w:rsidRPr="00D00749">
        <w:rPr>
          <w:rFonts w:ascii="Times New Roman" w:hAnsi="Times New Roman" w:cs="Times New Roman"/>
          <w:sz w:val="24"/>
          <w:szCs w:val="24"/>
        </w:rPr>
        <w:t xml:space="preserve"> </w:t>
      </w:r>
      <w:r w:rsidR="00D307FB" w:rsidRPr="00D00749">
        <w:rPr>
          <w:rFonts w:ascii="Times New Roman" w:hAnsi="Times New Roman" w:cs="Times New Roman"/>
          <w:sz w:val="24"/>
          <w:szCs w:val="24"/>
        </w:rPr>
        <w:t>w</w:t>
      </w:r>
      <w:r w:rsidR="001D4EDA" w:rsidRPr="00D00749">
        <w:rPr>
          <w:rFonts w:ascii="Times New Roman" w:hAnsi="Times New Roman" w:cs="Times New Roman"/>
          <w:sz w:val="24"/>
          <w:szCs w:val="24"/>
        </w:rPr>
        <w:t xml:space="preserve">hich </w:t>
      </w:r>
      <w:r w:rsidR="00D307FB" w:rsidRPr="00D00749">
        <w:rPr>
          <w:rFonts w:ascii="Times New Roman" w:hAnsi="Times New Roman" w:cs="Times New Roman"/>
          <w:sz w:val="24"/>
          <w:szCs w:val="24"/>
        </w:rPr>
        <w:t>is</w:t>
      </w:r>
      <w:r w:rsidR="001D4EDA" w:rsidRPr="00D00749">
        <w:rPr>
          <w:rFonts w:ascii="Times New Roman" w:hAnsi="Times New Roman" w:cs="Times New Roman"/>
          <w:sz w:val="24"/>
          <w:szCs w:val="24"/>
        </w:rPr>
        <w:t xml:space="preserve"> of course a legitimate aim for any state. However indigenous peoples also have a right not to be forcibly or arbitrarily displaced, and subsequently have their cultural and spiritual attachment to their ancestral lands severed, often, regrettably but inevitably, as the title of this thesis suggests, forever. </w:t>
      </w:r>
    </w:p>
    <w:p w:rsidR="00086561" w:rsidRPr="0081155D" w:rsidRDefault="00D03622" w:rsidP="0043224D">
      <w:pPr>
        <w:pStyle w:val="Heading1"/>
        <w:spacing w:line="360" w:lineRule="auto"/>
      </w:pPr>
      <w:bookmarkStart w:id="4" w:name="_Toc399848337"/>
      <w:r>
        <w:t>C</w:t>
      </w:r>
      <w:r w:rsidR="00086561" w:rsidRPr="0081155D">
        <w:t>hapter 1</w:t>
      </w:r>
      <w:r w:rsidR="0081155D">
        <w:t xml:space="preserve"> - Introduction</w:t>
      </w:r>
      <w:bookmarkEnd w:id="4"/>
    </w:p>
    <w:p w:rsidR="00300644" w:rsidRPr="00254C2D" w:rsidRDefault="00ED6F51" w:rsidP="0043224D">
      <w:pPr>
        <w:pStyle w:val="Heading2"/>
        <w:spacing w:line="360" w:lineRule="auto"/>
      </w:pPr>
      <w:bookmarkStart w:id="5" w:name="_Toc399848338"/>
      <w:r>
        <w:t xml:space="preserve">1.1 </w:t>
      </w:r>
      <w:r w:rsidR="00A26364">
        <w:t xml:space="preserve">Contextual </w:t>
      </w:r>
      <w:r w:rsidR="001B76C2" w:rsidRPr="00254C2D">
        <w:t>Background</w:t>
      </w:r>
      <w:bookmarkEnd w:id="5"/>
      <w:r w:rsidR="001B76C2" w:rsidRPr="00254C2D">
        <w:t xml:space="preserve"> </w:t>
      </w:r>
    </w:p>
    <w:p w:rsidR="00221F1B" w:rsidRPr="0043224D" w:rsidRDefault="00F25CB7" w:rsidP="00060EEC">
      <w:pPr>
        <w:spacing w:line="360" w:lineRule="auto"/>
        <w:ind w:firstLine="720"/>
        <w:rPr>
          <w:rFonts w:ascii="Times New Roman" w:hAnsi="Times New Roman" w:cs="Times New Roman"/>
          <w:sz w:val="24"/>
          <w:szCs w:val="24"/>
        </w:rPr>
      </w:pPr>
      <w:r w:rsidRPr="00076E27">
        <w:rPr>
          <w:rFonts w:ascii="Times New Roman" w:hAnsi="Times New Roman" w:cs="Times New Roman"/>
          <w:sz w:val="24"/>
          <w:szCs w:val="24"/>
        </w:rPr>
        <w:t>The</w:t>
      </w:r>
      <w:r w:rsidR="00B95B94" w:rsidRPr="00076E27">
        <w:rPr>
          <w:rFonts w:ascii="Times New Roman" w:hAnsi="Times New Roman" w:cs="Times New Roman"/>
          <w:sz w:val="24"/>
          <w:szCs w:val="24"/>
        </w:rPr>
        <w:t xml:space="preserve"> </w:t>
      </w:r>
      <w:r w:rsidRPr="00076E27">
        <w:rPr>
          <w:rFonts w:ascii="Times New Roman" w:hAnsi="Times New Roman" w:cs="Times New Roman"/>
          <w:sz w:val="24"/>
          <w:szCs w:val="24"/>
        </w:rPr>
        <w:t xml:space="preserve">history of indigenous </w:t>
      </w:r>
      <w:r w:rsidR="006A449D" w:rsidRPr="00076E27">
        <w:rPr>
          <w:rFonts w:ascii="Times New Roman" w:hAnsi="Times New Roman" w:cs="Times New Roman"/>
          <w:sz w:val="24"/>
          <w:szCs w:val="24"/>
        </w:rPr>
        <w:t>people’s</w:t>
      </w:r>
      <w:r w:rsidRPr="00076E27">
        <w:rPr>
          <w:rFonts w:ascii="Times New Roman" w:hAnsi="Times New Roman" w:cs="Times New Roman"/>
          <w:sz w:val="24"/>
          <w:szCs w:val="24"/>
        </w:rPr>
        <w:t xml:space="preserve"> </w:t>
      </w:r>
      <w:r w:rsidR="006A449D" w:rsidRPr="00076E27">
        <w:rPr>
          <w:rFonts w:ascii="Times New Roman" w:hAnsi="Times New Roman" w:cs="Times New Roman"/>
          <w:sz w:val="24"/>
          <w:szCs w:val="24"/>
        </w:rPr>
        <w:t>interaction</w:t>
      </w:r>
      <w:r w:rsidR="0032657B" w:rsidRPr="00076E27">
        <w:rPr>
          <w:rFonts w:ascii="Times New Roman" w:hAnsi="Times New Roman" w:cs="Times New Roman"/>
          <w:sz w:val="24"/>
          <w:szCs w:val="24"/>
        </w:rPr>
        <w:t xml:space="preserve"> </w:t>
      </w:r>
      <w:r w:rsidRPr="00076E27">
        <w:rPr>
          <w:rFonts w:ascii="Times New Roman" w:hAnsi="Times New Roman" w:cs="Times New Roman"/>
          <w:sz w:val="24"/>
          <w:szCs w:val="24"/>
        </w:rPr>
        <w:t>with</w:t>
      </w:r>
      <w:r w:rsidR="00A170FC" w:rsidRPr="00076E27">
        <w:rPr>
          <w:rFonts w:ascii="Times New Roman" w:hAnsi="Times New Roman" w:cs="Times New Roman"/>
          <w:sz w:val="24"/>
          <w:szCs w:val="24"/>
        </w:rPr>
        <w:t xml:space="preserve"> the overarching concept of</w:t>
      </w:r>
      <w:r w:rsidRPr="00076E27">
        <w:rPr>
          <w:rFonts w:ascii="Times New Roman" w:hAnsi="Times New Roman" w:cs="Times New Roman"/>
          <w:sz w:val="24"/>
          <w:szCs w:val="24"/>
        </w:rPr>
        <w:t xml:space="preserve"> d</w:t>
      </w:r>
      <w:r w:rsidR="00E9000F" w:rsidRPr="00076E27">
        <w:rPr>
          <w:rFonts w:ascii="Times New Roman" w:hAnsi="Times New Roman" w:cs="Times New Roman"/>
          <w:sz w:val="24"/>
          <w:szCs w:val="24"/>
        </w:rPr>
        <w:t xml:space="preserve">evelopment is one of </w:t>
      </w:r>
      <w:r w:rsidR="00BE1EC0" w:rsidRPr="00076E27">
        <w:rPr>
          <w:rFonts w:ascii="Times New Roman" w:hAnsi="Times New Roman" w:cs="Times New Roman"/>
          <w:sz w:val="24"/>
          <w:szCs w:val="24"/>
        </w:rPr>
        <w:t>dispossession</w:t>
      </w:r>
      <w:r w:rsidR="00751FED" w:rsidRPr="00076E27">
        <w:rPr>
          <w:rFonts w:ascii="Times New Roman" w:hAnsi="Times New Roman" w:cs="Times New Roman"/>
          <w:sz w:val="24"/>
          <w:szCs w:val="24"/>
        </w:rPr>
        <w:t xml:space="preserve"> a</w:t>
      </w:r>
      <w:r w:rsidR="00BE1EC0" w:rsidRPr="00076E27">
        <w:rPr>
          <w:rFonts w:ascii="Times New Roman" w:hAnsi="Times New Roman" w:cs="Times New Roman"/>
          <w:sz w:val="24"/>
          <w:szCs w:val="24"/>
        </w:rPr>
        <w:t>nd</w:t>
      </w:r>
      <w:r w:rsidR="00B95B94" w:rsidRPr="00076E27">
        <w:rPr>
          <w:rFonts w:ascii="Times New Roman" w:hAnsi="Times New Roman" w:cs="Times New Roman"/>
          <w:sz w:val="24"/>
          <w:szCs w:val="24"/>
        </w:rPr>
        <w:t xml:space="preserve"> more often than not </w:t>
      </w:r>
      <w:r w:rsidR="00A46D74" w:rsidRPr="00076E27">
        <w:rPr>
          <w:rFonts w:ascii="Times New Roman" w:hAnsi="Times New Roman" w:cs="Times New Roman"/>
          <w:sz w:val="24"/>
          <w:szCs w:val="24"/>
        </w:rPr>
        <w:t>social and cultural dislocation</w:t>
      </w:r>
      <w:r w:rsidR="00B95B94" w:rsidRPr="00076E27">
        <w:rPr>
          <w:rFonts w:ascii="Times New Roman" w:hAnsi="Times New Roman" w:cs="Times New Roman"/>
          <w:sz w:val="24"/>
          <w:szCs w:val="24"/>
        </w:rPr>
        <w:t>,</w:t>
      </w:r>
      <w:r w:rsidR="00E9000F" w:rsidRPr="00076E27">
        <w:rPr>
          <w:rFonts w:ascii="Times New Roman" w:hAnsi="Times New Roman" w:cs="Times New Roman"/>
          <w:sz w:val="24"/>
          <w:szCs w:val="24"/>
        </w:rPr>
        <w:t xml:space="preserve"> and ultimately</w:t>
      </w:r>
      <w:r w:rsidR="007A0D17" w:rsidRPr="00076E27">
        <w:rPr>
          <w:rFonts w:ascii="Times New Roman" w:hAnsi="Times New Roman" w:cs="Times New Roman"/>
          <w:sz w:val="24"/>
          <w:szCs w:val="24"/>
        </w:rPr>
        <w:t>,</w:t>
      </w:r>
      <w:r w:rsidR="00221F1B" w:rsidRPr="00076E27">
        <w:rPr>
          <w:rFonts w:ascii="Times New Roman" w:hAnsi="Times New Roman" w:cs="Times New Roman"/>
          <w:sz w:val="24"/>
          <w:szCs w:val="24"/>
        </w:rPr>
        <w:t xml:space="preserve"> physical displacement.</w:t>
      </w:r>
      <w:r w:rsidR="008643FB" w:rsidRPr="00076E27">
        <w:rPr>
          <w:rStyle w:val="FootnoteReference"/>
          <w:rFonts w:ascii="Times New Roman" w:hAnsi="Times New Roman" w:cs="Times New Roman"/>
          <w:sz w:val="24"/>
          <w:szCs w:val="24"/>
        </w:rPr>
        <w:footnoteReference w:id="1"/>
      </w:r>
      <w:r w:rsidR="00644AFB" w:rsidRPr="00076E27">
        <w:rPr>
          <w:rFonts w:ascii="Times New Roman" w:hAnsi="Times New Roman" w:cs="Times New Roman"/>
          <w:sz w:val="24"/>
          <w:szCs w:val="24"/>
        </w:rPr>
        <w:t xml:space="preserve"> More </w:t>
      </w:r>
      <w:r w:rsidR="00EC299E" w:rsidRPr="00076E27">
        <w:rPr>
          <w:rFonts w:ascii="Times New Roman" w:hAnsi="Times New Roman" w:cs="Times New Roman"/>
          <w:sz w:val="24"/>
          <w:szCs w:val="24"/>
        </w:rPr>
        <w:t>immediately</w:t>
      </w:r>
      <w:r w:rsidR="0032657B" w:rsidRPr="00076E27">
        <w:rPr>
          <w:rFonts w:ascii="Times New Roman" w:hAnsi="Times New Roman" w:cs="Times New Roman"/>
          <w:sz w:val="24"/>
          <w:szCs w:val="24"/>
        </w:rPr>
        <w:t xml:space="preserve"> however</w:t>
      </w:r>
      <w:r w:rsidR="00644AFB" w:rsidRPr="00076E27">
        <w:rPr>
          <w:rFonts w:ascii="Times New Roman" w:hAnsi="Times New Roman" w:cs="Times New Roman"/>
          <w:sz w:val="24"/>
          <w:szCs w:val="24"/>
        </w:rPr>
        <w:t xml:space="preserve"> it is a</w:t>
      </w:r>
      <w:r w:rsidR="006A449D" w:rsidRPr="00076E27">
        <w:rPr>
          <w:rFonts w:ascii="Times New Roman" w:hAnsi="Times New Roman" w:cs="Times New Roman"/>
          <w:sz w:val="24"/>
          <w:szCs w:val="24"/>
        </w:rPr>
        <w:t>n</w:t>
      </w:r>
      <w:r w:rsidR="00644AFB" w:rsidRPr="00076E27">
        <w:rPr>
          <w:rFonts w:ascii="Times New Roman" w:hAnsi="Times New Roman" w:cs="Times New Roman"/>
          <w:sz w:val="24"/>
          <w:szCs w:val="24"/>
        </w:rPr>
        <w:t xml:space="preserve"> historical narrative with a</w:t>
      </w:r>
      <w:r w:rsidR="00E4681E" w:rsidRPr="00076E27">
        <w:rPr>
          <w:rFonts w:ascii="Times New Roman" w:hAnsi="Times New Roman" w:cs="Times New Roman"/>
          <w:sz w:val="24"/>
          <w:szCs w:val="24"/>
        </w:rPr>
        <w:t xml:space="preserve"> </w:t>
      </w:r>
      <w:r w:rsidR="00644AFB" w:rsidRPr="00076E27">
        <w:rPr>
          <w:rFonts w:ascii="Times New Roman" w:hAnsi="Times New Roman" w:cs="Times New Roman"/>
          <w:sz w:val="24"/>
          <w:szCs w:val="24"/>
        </w:rPr>
        <w:t>contemporary chapter</w:t>
      </w:r>
      <w:r w:rsidR="00622F04" w:rsidRPr="00076E27">
        <w:rPr>
          <w:rFonts w:ascii="Times New Roman" w:hAnsi="Times New Roman" w:cs="Times New Roman"/>
          <w:sz w:val="24"/>
          <w:szCs w:val="24"/>
        </w:rPr>
        <w:t>;</w:t>
      </w:r>
      <w:r w:rsidR="00B7575C" w:rsidRPr="00076E27">
        <w:rPr>
          <w:rStyle w:val="FootnoteReference"/>
          <w:rFonts w:ascii="Times New Roman" w:hAnsi="Times New Roman" w:cs="Times New Roman"/>
          <w:sz w:val="24"/>
          <w:szCs w:val="24"/>
        </w:rPr>
        <w:footnoteReference w:id="2"/>
      </w:r>
      <w:r w:rsidR="00B7575C" w:rsidRPr="00076E27">
        <w:rPr>
          <w:rFonts w:ascii="Times New Roman" w:hAnsi="Times New Roman" w:cs="Times New Roman"/>
          <w:sz w:val="24"/>
          <w:szCs w:val="24"/>
        </w:rPr>
        <w:t xml:space="preserve"> </w:t>
      </w:r>
      <w:r w:rsidR="00144465" w:rsidRPr="00076E27">
        <w:rPr>
          <w:rFonts w:ascii="Times New Roman" w:hAnsi="Times New Roman" w:cs="Times New Roman"/>
          <w:sz w:val="24"/>
          <w:szCs w:val="24"/>
        </w:rPr>
        <w:t xml:space="preserve">a </w:t>
      </w:r>
      <w:r w:rsidR="00084228" w:rsidRPr="00076E27">
        <w:rPr>
          <w:rFonts w:ascii="Times New Roman" w:hAnsi="Times New Roman" w:cs="Times New Roman"/>
          <w:sz w:val="24"/>
          <w:szCs w:val="24"/>
        </w:rPr>
        <w:t xml:space="preserve">contemporary </w:t>
      </w:r>
      <w:r w:rsidR="00144465" w:rsidRPr="00076E27">
        <w:rPr>
          <w:rFonts w:ascii="Times New Roman" w:hAnsi="Times New Roman" w:cs="Times New Roman"/>
          <w:sz w:val="24"/>
          <w:szCs w:val="24"/>
        </w:rPr>
        <w:t xml:space="preserve">chapter </w:t>
      </w:r>
      <w:r w:rsidR="00622F04" w:rsidRPr="00076E27">
        <w:rPr>
          <w:rFonts w:ascii="Times New Roman" w:hAnsi="Times New Roman" w:cs="Times New Roman"/>
          <w:sz w:val="24"/>
          <w:szCs w:val="24"/>
        </w:rPr>
        <w:t>that</w:t>
      </w:r>
      <w:r w:rsidR="006A449D" w:rsidRPr="00076E27">
        <w:rPr>
          <w:rFonts w:ascii="Times New Roman" w:hAnsi="Times New Roman" w:cs="Times New Roman"/>
          <w:sz w:val="24"/>
          <w:szCs w:val="24"/>
        </w:rPr>
        <w:t xml:space="preserve"> has</w:t>
      </w:r>
      <w:r w:rsidR="009868DD" w:rsidRPr="00076E27">
        <w:rPr>
          <w:rFonts w:ascii="Times New Roman" w:hAnsi="Times New Roman" w:cs="Times New Roman"/>
          <w:sz w:val="24"/>
          <w:szCs w:val="24"/>
        </w:rPr>
        <w:t xml:space="preserve"> critical importance</w:t>
      </w:r>
      <w:r w:rsidR="00C810D1" w:rsidRPr="00076E27">
        <w:rPr>
          <w:rFonts w:ascii="Times New Roman" w:hAnsi="Times New Roman" w:cs="Times New Roman"/>
          <w:sz w:val="24"/>
          <w:szCs w:val="24"/>
        </w:rPr>
        <w:t xml:space="preserve"> </w:t>
      </w:r>
      <w:r w:rsidR="0032657B" w:rsidRPr="00076E27">
        <w:rPr>
          <w:rFonts w:ascii="Times New Roman" w:hAnsi="Times New Roman" w:cs="Times New Roman"/>
          <w:sz w:val="24"/>
          <w:szCs w:val="24"/>
        </w:rPr>
        <w:t>for indigenous peoples’ human rights</w:t>
      </w:r>
      <w:r w:rsidR="0073495D" w:rsidRPr="00076E27">
        <w:rPr>
          <w:rFonts w:ascii="Times New Roman" w:hAnsi="Times New Roman" w:cs="Times New Roman"/>
          <w:sz w:val="24"/>
          <w:szCs w:val="24"/>
        </w:rPr>
        <w:t xml:space="preserve">, and one which raises many </w:t>
      </w:r>
      <w:r w:rsidR="0073495D" w:rsidRPr="0043224D">
        <w:rPr>
          <w:rFonts w:ascii="Times New Roman" w:hAnsi="Times New Roman" w:cs="Times New Roman"/>
          <w:sz w:val="24"/>
          <w:szCs w:val="24"/>
        </w:rPr>
        <w:t>questions of social justice and ethical responsibility by all agents involved</w:t>
      </w:r>
      <w:r w:rsidR="00221F1B" w:rsidRPr="0043224D">
        <w:rPr>
          <w:rFonts w:ascii="Times New Roman" w:hAnsi="Times New Roman" w:cs="Times New Roman"/>
          <w:sz w:val="24"/>
          <w:szCs w:val="24"/>
        </w:rPr>
        <w:t>.</w:t>
      </w:r>
      <w:r w:rsidR="00722CCB" w:rsidRPr="0043224D">
        <w:rPr>
          <w:rStyle w:val="FootnoteReference"/>
          <w:rFonts w:ascii="Times New Roman" w:hAnsi="Times New Roman" w:cs="Times New Roman"/>
          <w:sz w:val="24"/>
          <w:szCs w:val="24"/>
        </w:rPr>
        <w:footnoteReference w:id="3"/>
      </w:r>
      <w:r w:rsidR="0032657B" w:rsidRPr="0043224D">
        <w:rPr>
          <w:rFonts w:ascii="Times New Roman" w:hAnsi="Times New Roman" w:cs="Times New Roman"/>
          <w:sz w:val="24"/>
          <w:szCs w:val="24"/>
        </w:rPr>
        <w:t xml:space="preserve"> </w:t>
      </w:r>
      <w:r w:rsidR="00B0089A">
        <w:rPr>
          <w:rFonts w:ascii="Times New Roman" w:hAnsi="Times New Roman" w:cs="Times New Roman"/>
          <w:sz w:val="24"/>
          <w:szCs w:val="24"/>
        </w:rPr>
        <w:t>Indeed</w:t>
      </w:r>
      <w:r w:rsidR="00B8002F" w:rsidRPr="0043224D">
        <w:rPr>
          <w:rFonts w:ascii="Times New Roman" w:hAnsi="Times New Roman" w:cs="Times New Roman"/>
          <w:sz w:val="24"/>
          <w:szCs w:val="24"/>
        </w:rPr>
        <w:t xml:space="preserve"> some scholars</w:t>
      </w:r>
      <w:r w:rsidR="006B22A3">
        <w:rPr>
          <w:rFonts w:ascii="Times New Roman" w:hAnsi="Times New Roman" w:cs="Times New Roman"/>
          <w:sz w:val="24"/>
          <w:szCs w:val="24"/>
        </w:rPr>
        <w:t xml:space="preserve"> go as far to</w:t>
      </w:r>
      <w:r w:rsidR="00B8002F" w:rsidRPr="0043224D">
        <w:rPr>
          <w:rFonts w:ascii="Times New Roman" w:hAnsi="Times New Roman" w:cs="Times New Roman"/>
          <w:sz w:val="24"/>
          <w:szCs w:val="24"/>
        </w:rPr>
        <w:t xml:space="preserve"> argue that the </w:t>
      </w:r>
      <w:r w:rsidR="003A4C36" w:rsidRPr="0043224D">
        <w:rPr>
          <w:rFonts w:ascii="Times New Roman" w:hAnsi="Times New Roman" w:cs="Times New Roman"/>
          <w:sz w:val="24"/>
          <w:szCs w:val="24"/>
        </w:rPr>
        <w:t>contemporary</w:t>
      </w:r>
      <w:r w:rsidR="00084228" w:rsidRPr="0043224D">
        <w:rPr>
          <w:rFonts w:ascii="Times New Roman" w:hAnsi="Times New Roman" w:cs="Times New Roman"/>
          <w:sz w:val="24"/>
          <w:szCs w:val="24"/>
        </w:rPr>
        <w:t xml:space="preserve"> global</w:t>
      </w:r>
      <w:r w:rsidR="003A4C36" w:rsidRPr="0043224D">
        <w:rPr>
          <w:rFonts w:ascii="Times New Roman" w:hAnsi="Times New Roman" w:cs="Times New Roman"/>
          <w:sz w:val="24"/>
          <w:szCs w:val="24"/>
        </w:rPr>
        <w:t xml:space="preserve"> </w:t>
      </w:r>
      <w:r w:rsidR="00B8002F" w:rsidRPr="0043224D">
        <w:rPr>
          <w:rFonts w:ascii="Times New Roman" w:hAnsi="Times New Roman" w:cs="Times New Roman"/>
          <w:sz w:val="24"/>
          <w:szCs w:val="24"/>
        </w:rPr>
        <w:t xml:space="preserve">development model </w:t>
      </w:r>
      <w:r w:rsidR="00262CDB" w:rsidRPr="0043224D">
        <w:rPr>
          <w:rFonts w:ascii="Times New Roman" w:hAnsi="Times New Roman" w:cs="Times New Roman"/>
          <w:sz w:val="24"/>
          <w:szCs w:val="24"/>
        </w:rPr>
        <w:t xml:space="preserve">as it is </w:t>
      </w:r>
      <w:r w:rsidR="00B8002F" w:rsidRPr="0043224D">
        <w:rPr>
          <w:rFonts w:ascii="Times New Roman" w:hAnsi="Times New Roman" w:cs="Times New Roman"/>
          <w:sz w:val="24"/>
          <w:szCs w:val="24"/>
        </w:rPr>
        <w:t>currently practiced pose</w:t>
      </w:r>
      <w:r w:rsidR="00084228" w:rsidRPr="0043224D">
        <w:rPr>
          <w:rFonts w:ascii="Times New Roman" w:hAnsi="Times New Roman" w:cs="Times New Roman"/>
          <w:sz w:val="24"/>
          <w:szCs w:val="24"/>
        </w:rPr>
        <w:t>s an existential threat to the</w:t>
      </w:r>
      <w:r w:rsidR="00B8002F" w:rsidRPr="0043224D">
        <w:rPr>
          <w:rFonts w:ascii="Times New Roman" w:hAnsi="Times New Roman" w:cs="Times New Roman"/>
          <w:sz w:val="24"/>
          <w:szCs w:val="24"/>
        </w:rPr>
        <w:t xml:space="preserve"> very survival</w:t>
      </w:r>
      <w:r w:rsidR="00084228" w:rsidRPr="0043224D">
        <w:rPr>
          <w:rFonts w:ascii="Times New Roman" w:hAnsi="Times New Roman" w:cs="Times New Roman"/>
          <w:sz w:val="24"/>
          <w:szCs w:val="24"/>
        </w:rPr>
        <w:t xml:space="preserve"> of indigenous culture</w:t>
      </w:r>
      <w:r w:rsidR="006B22A3">
        <w:rPr>
          <w:rFonts w:ascii="Times New Roman" w:hAnsi="Times New Roman" w:cs="Times New Roman"/>
          <w:sz w:val="24"/>
          <w:szCs w:val="24"/>
        </w:rPr>
        <w:t xml:space="preserve"> itself</w:t>
      </w:r>
      <w:r w:rsidR="00221F1B" w:rsidRPr="0043224D">
        <w:rPr>
          <w:rFonts w:ascii="Times New Roman" w:hAnsi="Times New Roman" w:cs="Times New Roman"/>
          <w:sz w:val="24"/>
          <w:szCs w:val="24"/>
        </w:rPr>
        <w:t>, “</w:t>
      </w:r>
      <w:r w:rsidR="00F844C9" w:rsidRPr="0043224D">
        <w:rPr>
          <w:rFonts w:ascii="Times New Roman" w:hAnsi="Times New Roman" w:cs="Times New Roman"/>
          <w:sz w:val="24"/>
          <w:szCs w:val="24"/>
        </w:rPr>
        <w:t>They stand, both physically and ideologically, at the frontlines of the struggle to transform the globalization model</w:t>
      </w:r>
      <w:r w:rsidR="009951E4" w:rsidRPr="0043224D">
        <w:rPr>
          <w:rFonts w:ascii="Times New Roman" w:hAnsi="Times New Roman" w:cs="Times New Roman"/>
          <w:sz w:val="24"/>
          <w:szCs w:val="24"/>
        </w:rPr>
        <w:t>.</w:t>
      </w:r>
      <w:r w:rsidR="00F844C9" w:rsidRPr="0043224D">
        <w:rPr>
          <w:rFonts w:ascii="Times New Roman" w:hAnsi="Times New Roman" w:cs="Times New Roman"/>
          <w:sz w:val="24"/>
          <w:szCs w:val="24"/>
        </w:rPr>
        <w:t xml:space="preserve"> </w:t>
      </w:r>
      <w:r w:rsidR="009951E4" w:rsidRPr="0043224D">
        <w:rPr>
          <w:rFonts w:ascii="Times New Roman" w:hAnsi="Times New Roman" w:cs="Times New Roman"/>
          <w:sz w:val="24"/>
          <w:szCs w:val="24"/>
        </w:rPr>
        <w:t>I</w:t>
      </w:r>
      <w:r w:rsidR="00221F1B" w:rsidRPr="0043224D">
        <w:rPr>
          <w:rFonts w:ascii="Times New Roman" w:hAnsi="Times New Roman" w:cs="Times New Roman"/>
          <w:sz w:val="24"/>
          <w:szCs w:val="24"/>
        </w:rPr>
        <w:t>f</w:t>
      </w:r>
      <w:r w:rsidR="00F844C9" w:rsidRPr="0043224D">
        <w:rPr>
          <w:rFonts w:ascii="Times New Roman" w:hAnsi="Times New Roman" w:cs="Times New Roman"/>
          <w:sz w:val="24"/>
          <w:szCs w:val="24"/>
        </w:rPr>
        <w:t xml:space="preserve"> unsuccessful, they stand to be the most profoundly impacted by it. For many, the threats it poses to their cultures and territories puts their very existence as peoples at stake.”</w:t>
      </w:r>
      <w:r w:rsidR="00B8002F" w:rsidRPr="0043224D">
        <w:rPr>
          <w:rStyle w:val="FootnoteReference"/>
          <w:rFonts w:ascii="Times New Roman" w:hAnsi="Times New Roman" w:cs="Times New Roman"/>
          <w:sz w:val="24"/>
          <w:szCs w:val="24"/>
        </w:rPr>
        <w:footnoteReference w:id="4"/>
      </w:r>
      <w:r w:rsidR="00B8002F" w:rsidRPr="0043224D">
        <w:rPr>
          <w:rFonts w:ascii="Times New Roman" w:hAnsi="Times New Roman" w:cs="Times New Roman"/>
          <w:sz w:val="24"/>
          <w:szCs w:val="24"/>
        </w:rPr>
        <w:t xml:space="preserve">  </w:t>
      </w:r>
    </w:p>
    <w:p w:rsidR="00771E54" w:rsidRPr="0043224D" w:rsidRDefault="00EC0E8A" w:rsidP="0043224D">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In th</w:t>
      </w:r>
      <w:r w:rsidR="00DA5A4E">
        <w:rPr>
          <w:rFonts w:ascii="Times New Roman" w:hAnsi="Times New Roman" w:cs="Times New Roman"/>
          <w:sz w:val="24"/>
          <w:szCs w:val="24"/>
        </w:rPr>
        <w:t>is</w:t>
      </w:r>
      <w:r w:rsidRPr="0043224D">
        <w:rPr>
          <w:rFonts w:ascii="Times New Roman" w:hAnsi="Times New Roman" w:cs="Times New Roman"/>
          <w:sz w:val="24"/>
          <w:szCs w:val="24"/>
        </w:rPr>
        <w:t xml:space="preserve"> connection</w:t>
      </w:r>
      <w:r w:rsidR="00084228" w:rsidRPr="0043224D">
        <w:rPr>
          <w:rFonts w:ascii="Times New Roman" w:hAnsi="Times New Roman" w:cs="Times New Roman"/>
          <w:sz w:val="24"/>
          <w:szCs w:val="24"/>
        </w:rPr>
        <w:t>,</w:t>
      </w:r>
      <w:r w:rsidR="00290573" w:rsidRPr="0043224D">
        <w:rPr>
          <w:rFonts w:ascii="Times New Roman" w:hAnsi="Times New Roman" w:cs="Times New Roman"/>
          <w:sz w:val="24"/>
          <w:szCs w:val="24"/>
        </w:rPr>
        <w:t xml:space="preserve"> in</w:t>
      </w:r>
      <w:r w:rsidR="00C42AED" w:rsidRPr="0043224D">
        <w:rPr>
          <w:rFonts w:ascii="Times New Roman" w:hAnsi="Times New Roman" w:cs="Times New Roman"/>
          <w:sz w:val="24"/>
          <w:szCs w:val="24"/>
        </w:rPr>
        <w:t xml:space="preserve"> 2011 the </w:t>
      </w:r>
      <w:r w:rsidR="00713341" w:rsidRPr="0043224D">
        <w:rPr>
          <w:rFonts w:ascii="Times New Roman" w:hAnsi="Times New Roman" w:cs="Times New Roman"/>
          <w:sz w:val="24"/>
          <w:szCs w:val="24"/>
        </w:rPr>
        <w:t>UN’s</w:t>
      </w:r>
      <w:r w:rsidR="00C42AED" w:rsidRPr="0043224D">
        <w:rPr>
          <w:rFonts w:ascii="Times New Roman" w:hAnsi="Times New Roman" w:cs="Times New Roman"/>
          <w:sz w:val="24"/>
          <w:szCs w:val="24"/>
        </w:rPr>
        <w:t xml:space="preserve"> </w:t>
      </w:r>
      <w:r w:rsidR="008C4C37" w:rsidRPr="0043224D">
        <w:rPr>
          <w:rFonts w:ascii="Times New Roman" w:hAnsi="Times New Roman" w:cs="Times New Roman"/>
          <w:sz w:val="24"/>
          <w:szCs w:val="24"/>
        </w:rPr>
        <w:t>S</w:t>
      </w:r>
      <w:r w:rsidR="00C42AED" w:rsidRPr="0043224D">
        <w:rPr>
          <w:rFonts w:ascii="Times New Roman" w:hAnsi="Times New Roman" w:cs="Times New Roman"/>
          <w:sz w:val="24"/>
          <w:szCs w:val="24"/>
        </w:rPr>
        <w:t xml:space="preserve">pecial Rapporteur on the </w:t>
      </w:r>
      <w:r w:rsidR="008C4C37" w:rsidRPr="0043224D">
        <w:rPr>
          <w:rFonts w:ascii="Times New Roman" w:hAnsi="Times New Roman" w:cs="Times New Roman"/>
          <w:sz w:val="24"/>
          <w:szCs w:val="24"/>
        </w:rPr>
        <w:t>R</w:t>
      </w:r>
      <w:r w:rsidR="00C42AED" w:rsidRPr="0043224D">
        <w:rPr>
          <w:rFonts w:ascii="Times New Roman" w:hAnsi="Times New Roman" w:cs="Times New Roman"/>
          <w:sz w:val="24"/>
          <w:szCs w:val="24"/>
        </w:rPr>
        <w:t xml:space="preserve">ights of </w:t>
      </w:r>
      <w:r w:rsidR="008C4C37" w:rsidRPr="0043224D">
        <w:rPr>
          <w:rFonts w:ascii="Times New Roman" w:hAnsi="Times New Roman" w:cs="Times New Roman"/>
          <w:sz w:val="24"/>
          <w:szCs w:val="24"/>
        </w:rPr>
        <w:t>I</w:t>
      </w:r>
      <w:r w:rsidR="00C42AED" w:rsidRPr="0043224D">
        <w:rPr>
          <w:rFonts w:ascii="Times New Roman" w:hAnsi="Times New Roman" w:cs="Times New Roman"/>
          <w:sz w:val="24"/>
          <w:szCs w:val="24"/>
        </w:rPr>
        <w:t xml:space="preserve">ndigenous </w:t>
      </w:r>
      <w:r w:rsidR="008C4C37" w:rsidRPr="0043224D">
        <w:rPr>
          <w:rFonts w:ascii="Times New Roman" w:hAnsi="Times New Roman" w:cs="Times New Roman"/>
          <w:sz w:val="24"/>
          <w:szCs w:val="24"/>
        </w:rPr>
        <w:t>P</w:t>
      </w:r>
      <w:r w:rsidR="00C42AED" w:rsidRPr="0043224D">
        <w:rPr>
          <w:rFonts w:ascii="Times New Roman" w:hAnsi="Times New Roman" w:cs="Times New Roman"/>
          <w:sz w:val="24"/>
          <w:szCs w:val="24"/>
        </w:rPr>
        <w:t xml:space="preserve">eoples </w:t>
      </w:r>
      <w:r w:rsidRPr="0043224D">
        <w:rPr>
          <w:rFonts w:ascii="Times New Roman" w:hAnsi="Times New Roman" w:cs="Times New Roman"/>
          <w:sz w:val="24"/>
          <w:szCs w:val="24"/>
        </w:rPr>
        <w:t>identified extractive industries as a subject of special concern during his mandate. Noting that,</w:t>
      </w:r>
      <w:r w:rsidR="00C42AED" w:rsidRPr="0043224D">
        <w:rPr>
          <w:rFonts w:ascii="Times New Roman" w:hAnsi="Times New Roman" w:cs="Times New Roman"/>
          <w:sz w:val="24"/>
          <w:szCs w:val="24"/>
        </w:rPr>
        <w:t xml:space="preserve"> in the context of forced displacement caused by resource extraction </w:t>
      </w:r>
      <w:r w:rsidRPr="0043224D">
        <w:rPr>
          <w:rFonts w:ascii="Times New Roman" w:hAnsi="Times New Roman" w:cs="Times New Roman"/>
          <w:sz w:val="24"/>
          <w:szCs w:val="24"/>
        </w:rPr>
        <w:t>projects,</w:t>
      </w:r>
      <w:r w:rsidRPr="0043224D">
        <w:rPr>
          <w:rFonts w:ascii="Times New Roman" w:hAnsi="Times New Roman" w:cs="Times New Roman"/>
          <w:i/>
          <w:sz w:val="24"/>
          <w:szCs w:val="24"/>
        </w:rPr>
        <w:t xml:space="preserve"> </w:t>
      </w:r>
      <w:r w:rsidRPr="0043224D">
        <w:rPr>
          <w:rFonts w:ascii="Times New Roman" w:hAnsi="Times New Roman" w:cs="Times New Roman"/>
          <w:sz w:val="24"/>
          <w:szCs w:val="24"/>
        </w:rPr>
        <w:t>“[R]esource extraction can jeopardize the survival of indigenous groups as distinct cultures that are inextricably connected to the territories they have traditionally inhabited.”</w:t>
      </w:r>
      <w:r w:rsidRPr="0043224D">
        <w:rPr>
          <w:rStyle w:val="FootnoteReference"/>
          <w:rFonts w:ascii="Times New Roman" w:hAnsi="Times New Roman" w:cs="Times New Roman"/>
          <w:sz w:val="24"/>
          <w:szCs w:val="24"/>
        </w:rPr>
        <w:footnoteReference w:id="5"/>
      </w:r>
      <w:r w:rsidR="00793575" w:rsidRPr="0043224D">
        <w:rPr>
          <w:rFonts w:ascii="Times New Roman" w:hAnsi="Times New Roman" w:cs="Times New Roman"/>
          <w:sz w:val="24"/>
          <w:szCs w:val="24"/>
        </w:rPr>
        <w:t xml:space="preserve"> </w:t>
      </w:r>
      <w:r w:rsidR="00771E54" w:rsidRPr="0043224D">
        <w:rPr>
          <w:rFonts w:ascii="Times New Roman" w:hAnsi="Times New Roman" w:cs="Times New Roman"/>
          <w:sz w:val="24"/>
          <w:szCs w:val="24"/>
        </w:rPr>
        <w:t xml:space="preserve"> It is a phenomenon </w:t>
      </w:r>
      <w:r w:rsidR="009D605C" w:rsidRPr="0043224D">
        <w:rPr>
          <w:rFonts w:ascii="Times New Roman" w:hAnsi="Times New Roman" w:cs="Times New Roman"/>
          <w:sz w:val="24"/>
          <w:szCs w:val="24"/>
        </w:rPr>
        <w:t xml:space="preserve">that </w:t>
      </w:r>
      <w:r w:rsidR="009D605C">
        <w:rPr>
          <w:rFonts w:ascii="Times New Roman" w:hAnsi="Times New Roman" w:cs="Times New Roman"/>
          <w:sz w:val="24"/>
          <w:szCs w:val="24"/>
        </w:rPr>
        <w:t>led</w:t>
      </w:r>
      <w:r w:rsidR="00771E54" w:rsidRPr="0043224D">
        <w:rPr>
          <w:rFonts w:ascii="Times New Roman" w:hAnsi="Times New Roman" w:cs="Times New Roman"/>
          <w:sz w:val="24"/>
          <w:szCs w:val="24"/>
        </w:rPr>
        <w:t xml:space="preserve"> one </w:t>
      </w:r>
      <w:r w:rsidR="00771E54" w:rsidRPr="00A80FDB">
        <w:rPr>
          <w:rFonts w:ascii="Times New Roman" w:hAnsi="Times New Roman" w:cs="Times New Roman"/>
          <w:sz w:val="24"/>
          <w:szCs w:val="24"/>
        </w:rPr>
        <w:t>NGO</w:t>
      </w:r>
      <w:r w:rsidR="00771E54" w:rsidRPr="0043224D">
        <w:rPr>
          <w:rFonts w:ascii="Times New Roman" w:hAnsi="Times New Roman" w:cs="Times New Roman"/>
          <w:sz w:val="24"/>
          <w:szCs w:val="24"/>
        </w:rPr>
        <w:t xml:space="preserve"> representative describing the forced migratory process to the Rapporteur as the, “transition of [an] ‘ecosystem people’ into ecological refugees”.</w:t>
      </w:r>
      <w:r w:rsidR="00771E54" w:rsidRPr="0043224D">
        <w:rPr>
          <w:rStyle w:val="FootnoteReference"/>
          <w:rFonts w:ascii="Times New Roman" w:hAnsi="Times New Roman" w:cs="Times New Roman"/>
          <w:sz w:val="24"/>
          <w:szCs w:val="24"/>
        </w:rPr>
        <w:footnoteReference w:id="6"/>
      </w:r>
      <w:r w:rsidR="00771E54" w:rsidRPr="0043224D">
        <w:rPr>
          <w:rFonts w:ascii="Times New Roman" w:hAnsi="Times New Roman" w:cs="Times New Roman"/>
          <w:sz w:val="24"/>
          <w:szCs w:val="24"/>
        </w:rPr>
        <w:t xml:space="preserve"> </w:t>
      </w:r>
    </w:p>
    <w:p w:rsidR="00A26364" w:rsidRPr="00A26364" w:rsidRDefault="007A0D17" w:rsidP="0043224D">
      <w:pPr>
        <w:spacing w:line="360" w:lineRule="auto"/>
        <w:ind w:firstLine="720"/>
        <w:rPr>
          <w:rFonts w:ascii="Times New Roman" w:hAnsi="Times New Roman" w:cs="Times New Roman"/>
          <w:sz w:val="28"/>
          <w:szCs w:val="28"/>
        </w:rPr>
      </w:pPr>
      <w:r w:rsidRPr="0043224D">
        <w:rPr>
          <w:rFonts w:ascii="Times New Roman" w:hAnsi="Times New Roman" w:cs="Times New Roman"/>
          <w:sz w:val="24"/>
          <w:szCs w:val="24"/>
        </w:rPr>
        <w:t>The negative impact</w:t>
      </w:r>
      <w:r w:rsidR="003E3089" w:rsidRPr="0043224D">
        <w:rPr>
          <w:rFonts w:ascii="Times New Roman" w:hAnsi="Times New Roman" w:cs="Times New Roman"/>
          <w:sz w:val="24"/>
          <w:szCs w:val="24"/>
        </w:rPr>
        <w:t xml:space="preserve"> </w:t>
      </w:r>
      <w:r w:rsidRPr="0043224D">
        <w:rPr>
          <w:rFonts w:ascii="Times New Roman" w:hAnsi="Times New Roman" w:cs="Times New Roman"/>
          <w:sz w:val="24"/>
          <w:szCs w:val="24"/>
        </w:rPr>
        <w:t>of development policies, especially resource extraction projects</w:t>
      </w:r>
      <w:r w:rsidR="00EC0E8A" w:rsidRPr="0043224D">
        <w:rPr>
          <w:rFonts w:ascii="Times New Roman" w:hAnsi="Times New Roman" w:cs="Times New Roman"/>
          <w:sz w:val="24"/>
          <w:szCs w:val="24"/>
        </w:rPr>
        <w:t>, logging</w:t>
      </w:r>
      <w:r w:rsidR="00D019CB" w:rsidRPr="0043224D">
        <w:rPr>
          <w:rFonts w:ascii="Times New Roman" w:hAnsi="Times New Roman" w:cs="Times New Roman"/>
          <w:sz w:val="24"/>
          <w:szCs w:val="24"/>
        </w:rPr>
        <w:t xml:space="preserve"> and dam building</w:t>
      </w:r>
      <w:r w:rsidRPr="0043224D">
        <w:rPr>
          <w:rFonts w:ascii="Times New Roman" w:hAnsi="Times New Roman" w:cs="Times New Roman"/>
          <w:sz w:val="24"/>
          <w:szCs w:val="24"/>
        </w:rPr>
        <w:t>, cannot be underestimated for the well-being of indigenous peoples</w:t>
      </w:r>
      <w:r w:rsidR="00A00727" w:rsidRPr="0043224D">
        <w:rPr>
          <w:rFonts w:ascii="Times New Roman" w:hAnsi="Times New Roman" w:cs="Times New Roman"/>
          <w:sz w:val="24"/>
          <w:szCs w:val="24"/>
        </w:rPr>
        <w:t>.</w:t>
      </w:r>
      <w:r w:rsidR="003917B7" w:rsidRPr="0043224D">
        <w:rPr>
          <w:rFonts w:ascii="Times New Roman" w:hAnsi="Times New Roman" w:cs="Times New Roman"/>
          <w:sz w:val="24"/>
          <w:szCs w:val="24"/>
        </w:rPr>
        <w:t xml:space="preserve"> </w:t>
      </w:r>
      <w:r w:rsidR="005F158F" w:rsidRPr="0043224D">
        <w:rPr>
          <w:rFonts w:ascii="Times New Roman" w:hAnsi="Times New Roman" w:cs="Times New Roman"/>
          <w:sz w:val="24"/>
          <w:szCs w:val="24"/>
        </w:rPr>
        <w:t xml:space="preserve"> </w:t>
      </w:r>
      <w:r w:rsidR="00D019CB" w:rsidRPr="0043224D">
        <w:rPr>
          <w:rFonts w:ascii="Times New Roman" w:hAnsi="Times New Roman" w:cs="Times New Roman"/>
          <w:sz w:val="24"/>
          <w:szCs w:val="24"/>
        </w:rPr>
        <w:t>These</w:t>
      </w:r>
      <w:r w:rsidR="003917B7" w:rsidRPr="0043224D">
        <w:rPr>
          <w:rFonts w:ascii="Times New Roman" w:hAnsi="Times New Roman" w:cs="Times New Roman"/>
          <w:sz w:val="24"/>
          <w:szCs w:val="24"/>
        </w:rPr>
        <w:t xml:space="preserve"> negative impacts and consequences are multifaceted in terms of societal well-being, in negative</w:t>
      </w:r>
      <w:r w:rsidR="00A6634D" w:rsidRPr="0043224D">
        <w:rPr>
          <w:rFonts w:ascii="Times New Roman" w:hAnsi="Times New Roman" w:cs="Times New Roman"/>
          <w:sz w:val="24"/>
          <w:szCs w:val="24"/>
        </w:rPr>
        <w:t xml:space="preserve"> social and</w:t>
      </w:r>
      <w:r w:rsidR="003917B7" w:rsidRPr="0043224D">
        <w:rPr>
          <w:rFonts w:ascii="Times New Roman" w:hAnsi="Times New Roman" w:cs="Times New Roman"/>
          <w:sz w:val="24"/>
          <w:szCs w:val="24"/>
        </w:rPr>
        <w:t xml:space="preserve"> health outcomes, and</w:t>
      </w:r>
      <w:r w:rsidR="00A00727" w:rsidRPr="0043224D">
        <w:rPr>
          <w:rFonts w:ascii="Times New Roman" w:hAnsi="Times New Roman" w:cs="Times New Roman"/>
          <w:sz w:val="24"/>
          <w:szCs w:val="24"/>
        </w:rPr>
        <w:t xml:space="preserve"> moreover</w:t>
      </w:r>
      <w:r w:rsidR="00D019CB" w:rsidRPr="0043224D">
        <w:rPr>
          <w:rFonts w:ascii="Times New Roman" w:hAnsi="Times New Roman" w:cs="Times New Roman"/>
          <w:sz w:val="24"/>
          <w:szCs w:val="24"/>
        </w:rPr>
        <w:t xml:space="preserve"> are</w:t>
      </w:r>
      <w:r w:rsidR="003917B7" w:rsidRPr="0043224D">
        <w:rPr>
          <w:rFonts w:ascii="Times New Roman" w:hAnsi="Times New Roman" w:cs="Times New Roman"/>
          <w:sz w:val="24"/>
          <w:szCs w:val="24"/>
        </w:rPr>
        <w:t xml:space="preserve"> multi-consequential</w:t>
      </w:r>
      <w:r w:rsidR="00A756C0" w:rsidRPr="0043224D">
        <w:rPr>
          <w:rFonts w:ascii="Times New Roman" w:hAnsi="Times New Roman" w:cs="Times New Roman"/>
          <w:sz w:val="24"/>
          <w:szCs w:val="24"/>
        </w:rPr>
        <w:t xml:space="preserve"> in their generational effects</w:t>
      </w:r>
      <w:r w:rsidR="003917B7" w:rsidRPr="0043224D">
        <w:rPr>
          <w:rFonts w:ascii="Times New Roman" w:hAnsi="Times New Roman" w:cs="Times New Roman"/>
          <w:sz w:val="24"/>
          <w:szCs w:val="24"/>
        </w:rPr>
        <w:t>.</w:t>
      </w:r>
      <w:r w:rsidR="00A756C0" w:rsidRPr="0043224D">
        <w:rPr>
          <w:rStyle w:val="FootnoteReference"/>
          <w:rFonts w:ascii="Times New Roman" w:hAnsi="Times New Roman" w:cs="Times New Roman"/>
          <w:sz w:val="24"/>
          <w:szCs w:val="24"/>
        </w:rPr>
        <w:footnoteReference w:id="7"/>
      </w:r>
      <w:r w:rsidR="003917B7" w:rsidRPr="0043224D">
        <w:rPr>
          <w:rFonts w:ascii="Times New Roman" w:hAnsi="Times New Roman" w:cs="Times New Roman"/>
          <w:sz w:val="24"/>
          <w:szCs w:val="24"/>
        </w:rPr>
        <w:t xml:space="preserve"> </w:t>
      </w:r>
      <w:r w:rsidR="000E48B2" w:rsidRPr="0043224D">
        <w:rPr>
          <w:rFonts w:ascii="Times New Roman" w:hAnsi="Times New Roman" w:cs="Times New Roman"/>
          <w:sz w:val="24"/>
          <w:szCs w:val="24"/>
        </w:rPr>
        <w:t>Additionally, the</w:t>
      </w:r>
      <w:r w:rsidR="007A7B27" w:rsidRPr="0043224D">
        <w:rPr>
          <w:rFonts w:ascii="Times New Roman" w:hAnsi="Times New Roman" w:cs="Times New Roman"/>
          <w:sz w:val="24"/>
          <w:szCs w:val="24"/>
        </w:rPr>
        <w:t xml:space="preserve"> physical displacement of indigenous peoples </w:t>
      </w:r>
      <w:r w:rsidR="007A44B4" w:rsidRPr="0043224D">
        <w:rPr>
          <w:rFonts w:ascii="Times New Roman" w:hAnsi="Times New Roman" w:cs="Times New Roman"/>
          <w:sz w:val="24"/>
          <w:szCs w:val="24"/>
        </w:rPr>
        <w:t>from</w:t>
      </w:r>
      <w:r w:rsidR="007A7B27" w:rsidRPr="0043224D">
        <w:rPr>
          <w:rFonts w:ascii="Times New Roman" w:hAnsi="Times New Roman" w:cs="Times New Roman"/>
          <w:sz w:val="24"/>
          <w:szCs w:val="24"/>
        </w:rPr>
        <w:t xml:space="preserve"> traditional lands has the added effect of removing them from the</w:t>
      </w:r>
      <w:r w:rsidR="00A2573B" w:rsidRPr="0043224D">
        <w:rPr>
          <w:rFonts w:ascii="Times New Roman" w:hAnsi="Times New Roman" w:cs="Times New Roman"/>
          <w:sz w:val="24"/>
          <w:szCs w:val="24"/>
        </w:rPr>
        <w:t xml:space="preserve"> source of their</w:t>
      </w:r>
      <w:r w:rsidR="007A7B27" w:rsidRPr="0043224D">
        <w:rPr>
          <w:rFonts w:ascii="Times New Roman" w:hAnsi="Times New Roman" w:cs="Times New Roman"/>
          <w:sz w:val="24"/>
          <w:szCs w:val="24"/>
        </w:rPr>
        <w:t xml:space="preserve"> livelihood</w:t>
      </w:r>
      <w:r w:rsidR="001E03FE" w:rsidRPr="0043224D">
        <w:rPr>
          <w:rFonts w:ascii="Times New Roman" w:hAnsi="Times New Roman" w:cs="Times New Roman"/>
          <w:sz w:val="24"/>
          <w:szCs w:val="24"/>
        </w:rPr>
        <w:t>s, and cultural and religious practices</w:t>
      </w:r>
      <w:r w:rsidR="007A7B27" w:rsidRPr="0043224D">
        <w:rPr>
          <w:rFonts w:ascii="Times New Roman" w:hAnsi="Times New Roman" w:cs="Times New Roman"/>
          <w:sz w:val="24"/>
          <w:szCs w:val="24"/>
        </w:rPr>
        <w:t>.</w:t>
      </w:r>
      <w:r w:rsidR="001E03FE" w:rsidRPr="0043224D">
        <w:rPr>
          <w:rStyle w:val="FootnoteReference"/>
          <w:rFonts w:ascii="Times New Roman" w:hAnsi="Times New Roman" w:cs="Times New Roman"/>
          <w:sz w:val="24"/>
          <w:szCs w:val="24"/>
        </w:rPr>
        <w:footnoteReference w:id="8"/>
      </w:r>
      <w:r w:rsidR="00C1078A" w:rsidRPr="00A26364">
        <w:rPr>
          <w:rFonts w:ascii="Times New Roman" w:hAnsi="Times New Roman" w:cs="Times New Roman"/>
          <w:sz w:val="28"/>
          <w:szCs w:val="28"/>
        </w:rPr>
        <w:t xml:space="preserve"> </w:t>
      </w:r>
      <w:r w:rsidR="00C7660C">
        <w:rPr>
          <w:rFonts w:ascii="Times New Roman" w:hAnsi="Times New Roman" w:cs="Times New Roman"/>
          <w:sz w:val="28"/>
          <w:szCs w:val="28"/>
        </w:rPr>
        <w:t xml:space="preserve"> </w:t>
      </w:r>
    </w:p>
    <w:p w:rsidR="00E163E8" w:rsidRPr="00254C2D" w:rsidRDefault="00ED6F51" w:rsidP="0043224D">
      <w:pPr>
        <w:pStyle w:val="Heading2"/>
        <w:spacing w:line="360" w:lineRule="auto"/>
      </w:pPr>
      <w:bookmarkStart w:id="6" w:name="_Toc399848339"/>
      <w:r>
        <w:t xml:space="preserve">1.2 </w:t>
      </w:r>
      <w:r w:rsidR="00E163E8" w:rsidRPr="00254C2D">
        <w:t>Research Aims and Objectives</w:t>
      </w:r>
      <w:bookmarkEnd w:id="6"/>
      <w:r w:rsidR="00E163E8" w:rsidRPr="00254C2D">
        <w:t xml:space="preserve"> </w:t>
      </w:r>
    </w:p>
    <w:p w:rsidR="00847C8F" w:rsidRPr="0043224D" w:rsidRDefault="00A2573B"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Against this backdrop</w:t>
      </w:r>
      <w:r w:rsidR="00950F88" w:rsidRPr="0043224D">
        <w:rPr>
          <w:rFonts w:ascii="Times New Roman" w:hAnsi="Times New Roman" w:cs="Times New Roman"/>
          <w:sz w:val="24"/>
          <w:szCs w:val="24"/>
        </w:rPr>
        <w:t>, t</w:t>
      </w:r>
      <w:r w:rsidR="008C5890" w:rsidRPr="0043224D">
        <w:rPr>
          <w:rFonts w:ascii="Times New Roman" w:hAnsi="Times New Roman" w:cs="Times New Roman"/>
          <w:sz w:val="24"/>
          <w:szCs w:val="24"/>
        </w:rPr>
        <w:t>he central aim</w:t>
      </w:r>
      <w:r w:rsidR="00E95818" w:rsidRPr="0043224D">
        <w:rPr>
          <w:rFonts w:ascii="Times New Roman" w:hAnsi="Times New Roman" w:cs="Times New Roman"/>
          <w:sz w:val="24"/>
          <w:szCs w:val="24"/>
        </w:rPr>
        <w:t xml:space="preserve"> </w:t>
      </w:r>
      <w:r w:rsidR="00413CD2" w:rsidRPr="0043224D">
        <w:rPr>
          <w:rFonts w:ascii="Times New Roman" w:hAnsi="Times New Roman" w:cs="Times New Roman"/>
          <w:sz w:val="24"/>
          <w:szCs w:val="24"/>
        </w:rPr>
        <w:t>of the thesis is</w:t>
      </w:r>
      <w:r w:rsidR="00E95818" w:rsidRPr="0043224D">
        <w:rPr>
          <w:rFonts w:ascii="Times New Roman" w:hAnsi="Times New Roman" w:cs="Times New Roman"/>
          <w:sz w:val="24"/>
          <w:szCs w:val="24"/>
        </w:rPr>
        <w:t xml:space="preserve"> to construct a clearer understanding</w:t>
      </w:r>
      <w:r w:rsidR="00360C54" w:rsidRPr="0043224D">
        <w:rPr>
          <w:rFonts w:ascii="Times New Roman" w:hAnsi="Times New Roman" w:cs="Times New Roman"/>
          <w:sz w:val="24"/>
          <w:szCs w:val="24"/>
        </w:rPr>
        <w:t xml:space="preserve"> of the position</w:t>
      </w:r>
      <w:r w:rsidR="00D575CF" w:rsidRPr="0043224D">
        <w:rPr>
          <w:rFonts w:ascii="Times New Roman" w:hAnsi="Times New Roman" w:cs="Times New Roman"/>
          <w:sz w:val="24"/>
          <w:szCs w:val="24"/>
        </w:rPr>
        <w:t xml:space="preserve"> of indigenous peoples </w:t>
      </w:r>
      <w:r w:rsidR="00360C54" w:rsidRPr="0043224D">
        <w:rPr>
          <w:rFonts w:ascii="Times New Roman" w:hAnsi="Times New Roman" w:cs="Times New Roman"/>
          <w:sz w:val="24"/>
          <w:szCs w:val="24"/>
        </w:rPr>
        <w:t xml:space="preserve">in international human rights law, in regards to their </w:t>
      </w:r>
      <w:r w:rsidR="003E34A8" w:rsidRPr="0043224D">
        <w:rPr>
          <w:rFonts w:ascii="Times New Roman" w:hAnsi="Times New Roman" w:cs="Times New Roman"/>
          <w:sz w:val="24"/>
          <w:szCs w:val="24"/>
        </w:rPr>
        <w:t xml:space="preserve">forced </w:t>
      </w:r>
      <w:r w:rsidR="00360C54" w:rsidRPr="0043224D">
        <w:rPr>
          <w:rFonts w:ascii="Times New Roman" w:hAnsi="Times New Roman" w:cs="Times New Roman"/>
          <w:sz w:val="24"/>
          <w:szCs w:val="24"/>
        </w:rPr>
        <w:t xml:space="preserve">displacement as a result of development projects. </w:t>
      </w:r>
      <w:r w:rsidR="000D437D" w:rsidRPr="0043224D">
        <w:rPr>
          <w:rFonts w:ascii="Times New Roman" w:hAnsi="Times New Roman" w:cs="Times New Roman"/>
          <w:sz w:val="24"/>
          <w:szCs w:val="24"/>
        </w:rPr>
        <w:t>Following on from this, the</w:t>
      </w:r>
      <w:r w:rsidR="007C437A" w:rsidRPr="0043224D">
        <w:rPr>
          <w:rFonts w:ascii="Times New Roman" w:hAnsi="Times New Roman" w:cs="Times New Roman"/>
          <w:sz w:val="24"/>
          <w:szCs w:val="24"/>
        </w:rPr>
        <w:t xml:space="preserve"> key objective </w:t>
      </w:r>
      <w:r w:rsidR="00E878B7" w:rsidRPr="0043224D">
        <w:rPr>
          <w:rFonts w:ascii="Times New Roman" w:hAnsi="Times New Roman" w:cs="Times New Roman"/>
          <w:sz w:val="24"/>
          <w:szCs w:val="24"/>
        </w:rPr>
        <w:t xml:space="preserve">of the study is to explore the international legal protections against the displacement of </w:t>
      </w:r>
      <w:r w:rsidR="00D575CF" w:rsidRPr="0043224D">
        <w:rPr>
          <w:rFonts w:ascii="Times New Roman" w:hAnsi="Times New Roman" w:cs="Times New Roman"/>
          <w:sz w:val="24"/>
          <w:szCs w:val="24"/>
        </w:rPr>
        <w:t>indigenous peoples</w:t>
      </w:r>
      <w:r w:rsidR="00E878B7" w:rsidRPr="0043224D">
        <w:rPr>
          <w:rFonts w:ascii="Times New Roman" w:hAnsi="Times New Roman" w:cs="Times New Roman"/>
          <w:sz w:val="24"/>
          <w:szCs w:val="24"/>
        </w:rPr>
        <w:t>, with an emphasis on</w:t>
      </w:r>
      <w:r w:rsidR="00525189" w:rsidRPr="0043224D">
        <w:rPr>
          <w:rFonts w:ascii="Times New Roman" w:hAnsi="Times New Roman" w:cs="Times New Roman"/>
          <w:sz w:val="24"/>
          <w:szCs w:val="24"/>
        </w:rPr>
        <w:t xml:space="preserve"> the obligations of states</w:t>
      </w:r>
      <w:r w:rsidR="00E878B7" w:rsidRPr="0043224D">
        <w:rPr>
          <w:rFonts w:ascii="Times New Roman" w:hAnsi="Times New Roman" w:cs="Times New Roman"/>
          <w:sz w:val="24"/>
          <w:szCs w:val="24"/>
        </w:rPr>
        <w:t xml:space="preserve"> </w:t>
      </w:r>
      <w:r w:rsidR="00E748E8" w:rsidRPr="0043224D">
        <w:rPr>
          <w:rFonts w:ascii="Times New Roman" w:hAnsi="Times New Roman" w:cs="Times New Roman"/>
          <w:sz w:val="24"/>
          <w:szCs w:val="24"/>
        </w:rPr>
        <w:t>prior to</w:t>
      </w:r>
      <w:r w:rsidR="0073495D" w:rsidRPr="0043224D">
        <w:rPr>
          <w:rFonts w:ascii="Times New Roman" w:hAnsi="Times New Roman" w:cs="Times New Roman"/>
          <w:sz w:val="24"/>
          <w:szCs w:val="24"/>
        </w:rPr>
        <w:t xml:space="preserve"> and after</w:t>
      </w:r>
      <w:r w:rsidR="00E878B7" w:rsidRPr="0043224D">
        <w:rPr>
          <w:rFonts w:ascii="Times New Roman" w:hAnsi="Times New Roman" w:cs="Times New Roman"/>
          <w:sz w:val="24"/>
          <w:szCs w:val="24"/>
        </w:rPr>
        <w:t xml:space="preserve"> the</w:t>
      </w:r>
      <w:r w:rsidR="000E48B2" w:rsidRPr="0043224D">
        <w:rPr>
          <w:rFonts w:ascii="Times New Roman" w:hAnsi="Times New Roman" w:cs="Times New Roman"/>
          <w:sz w:val="24"/>
          <w:szCs w:val="24"/>
        </w:rPr>
        <w:t xml:space="preserve"> displacement</w:t>
      </w:r>
      <w:r w:rsidR="00E878B7" w:rsidRPr="0043224D">
        <w:rPr>
          <w:rFonts w:ascii="Times New Roman" w:hAnsi="Times New Roman" w:cs="Times New Roman"/>
          <w:sz w:val="24"/>
          <w:szCs w:val="24"/>
        </w:rPr>
        <w:t xml:space="preserve"> event </w:t>
      </w:r>
      <w:r w:rsidR="00E748E8" w:rsidRPr="0043224D">
        <w:rPr>
          <w:rFonts w:ascii="Times New Roman" w:hAnsi="Times New Roman" w:cs="Times New Roman"/>
          <w:sz w:val="24"/>
          <w:szCs w:val="24"/>
        </w:rPr>
        <w:t>occurring</w:t>
      </w:r>
      <w:r w:rsidR="00E878B7" w:rsidRPr="0043224D">
        <w:rPr>
          <w:rFonts w:ascii="Times New Roman" w:hAnsi="Times New Roman" w:cs="Times New Roman"/>
          <w:sz w:val="24"/>
          <w:szCs w:val="24"/>
        </w:rPr>
        <w:t xml:space="preserve">. </w:t>
      </w:r>
      <w:r w:rsidR="00A6634D" w:rsidRPr="0043224D">
        <w:rPr>
          <w:rFonts w:ascii="Times New Roman" w:hAnsi="Times New Roman" w:cs="Times New Roman"/>
          <w:sz w:val="24"/>
          <w:szCs w:val="24"/>
        </w:rPr>
        <w:t>T</w:t>
      </w:r>
      <w:r w:rsidR="00865DA7" w:rsidRPr="0043224D">
        <w:rPr>
          <w:rFonts w:ascii="Times New Roman" w:hAnsi="Times New Roman" w:cs="Times New Roman"/>
          <w:sz w:val="24"/>
          <w:szCs w:val="24"/>
        </w:rPr>
        <w:t xml:space="preserve">he overall objective is to clarify what role international human rights law plays in the preventative protection of </w:t>
      </w:r>
      <w:r w:rsidR="00D575CF" w:rsidRPr="0043224D">
        <w:rPr>
          <w:rFonts w:ascii="Times New Roman" w:hAnsi="Times New Roman" w:cs="Times New Roman"/>
          <w:sz w:val="24"/>
          <w:szCs w:val="24"/>
        </w:rPr>
        <w:t>indigenous peoples</w:t>
      </w:r>
      <w:r w:rsidR="00A6634D" w:rsidRPr="0043224D">
        <w:rPr>
          <w:rFonts w:ascii="Times New Roman" w:hAnsi="Times New Roman" w:cs="Times New Roman"/>
          <w:sz w:val="24"/>
          <w:szCs w:val="24"/>
        </w:rPr>
        <w:t xml:space="preserve"> in regards to large-</w:t>
      </w:r>
      <w:r w:rsidR="009951E4" w:rsidRPr="0043224D">
        <w:rPr>
          <w:rFonts w:ascii="Times New Roman" w:hAnsi="Times New Roman" w:cs="Times New Roman"/>
          <w:sz w:val="24"/>
          <w:szCs w:val="24"/>
        </w:rPr>
        <w:t>scale</w:t>
      </w:r>
      <w:r w:rsidR="00A6634D" w:rsidRPr="0043224D">
        <w:rPr>
          <w:rFonts w:ascii="Times New Roman" w:hAnsi="Times New Roman" w:cs="Times New Roman"/>
          <w:sz w:val="24"/>
          <w:szCs w:val="24"/>
        </w:rPr>
        <w:t xml:space="preserve"> development projects</w:t>
      </w:r>
      <w:r w:rsidR="00865DA7" w:rsidRPr="0043224D">
        <w:rPr>
          <w:rFonts w:ascii="Times New Roman" w:hAnsi="Times New Roman" w:cs="Times New Roman"/>
          <w:sz w:val="24"/>
          <w:szCs w:val="24"/>
        </w:rPr>
        <w:t xml:space="preserve">. </w:t>
      </w:r>
    </w:p>
    <w:p w:rsidR="00E163E8" w:rsidRDefault="00ED6F51" w:rsidP="0043224D">
      <w:pPr>
        <w:pStyle w:val="Heading2"/>
        <w:spacing w:line="360" w:lineRule="auto"/>
      </w:pPr>
      <w:bookmarkStart w:id="7" w:name="_Toc399848340"/>
      <w:r>
        <w:t xml:space="preserve">1.3 </w:t>
      </w:r>
      <w:r w:rsidR="00576285" w:rsidRPr="00254C2D">
        <w:t xml:space="preserve">Thematic and </w:t>
      </w:r>
      <w:r w:rsidR="00E163E8" w:rsidRPr="00254C2D">
        <w:t>Legal Focus</w:t>
      </w:r>
      <w:bookmarkEnd w:id="7"/>
      <w:r w:rsidR="00576285" w:rsidRPr="00254C2D">
        <w:t xml:space="preserve"> </w:t>
      </w:r>
    </w:p>
    <w:p w:rsidR="00576285" w:rsidRPr="0043224D" w:rsidRDefault="00777767"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The overarching focus will be on forced displacement </w:t>
      </w:r>
      <w:r w:rsidR="000903DC" w:rsidRPr="0043224D">
        <w:rPr>
          <w:rFonts w:ascii="Times New Roman" w:hAnsi="Times New Roman" w:cs="Times New Roman"/>
          <w:sz w:val="24"/>
          <w:szCs w:val="24"/>
        </w:rPr>
        <w:t>as</w:t>
      </w:r>
      <w:r w:rsidR="00A6634D" w:rsidRPr="0043224D">
        <w:rPr>
          <w:rFonts w:ascii="Times New Roman" w:hAnsi="Times New Roman" w:cs="Times New Roman"/>
          <w:sz w:val="24"/>
          <w:szCs w:val="24"/>
        </w:rPr>
        <w:t xml:space="preserve"> </w:t>
      </w:r>
      <w:r w:rsidR="00A87F87" w:rsidRPr="0043224D">
        <w:rPr>
          <w:rFonts w:ascii="Times New Roman" w:hAnsi="Times New Roman" w:cs="Times New Roman"/>
          <w:sz w:val="24"/>
          <w:szCs w:val="24"/>
        </w:rPr>
        <w:t>the initial cause</w:t>
      </w:r>
      <w:r w:rsidRPr="0043224D">
        <w:rPr>
          <w:rFonts w:ascii="Times New Roman" w:hAnsi="Times New Roman" w:cs="Times New Roman"/>
          <w:sz w:val="24"/>
          <w:szCs w:val="24"/>
        </w:rPr>
        <w:t xml:space="preserve"> of </w:t>
      </w:r>
      <w:r w:rsidR="00B37EF0" w:rsidRPr="0043224D">
        <w:rPr>
          <w:rFonts w:ascii="Times New Roman" w:hAnsi="Times New Roman" w:cs="Times New Roman"/>
          <w:sz w:val="24"/>
          <w:szCs w:val="24"/>
        </w:rPr>
        <w:t xml:space="preserve">indigenous </w:t>
      </w:r>
      <w:r w:rsidR="00795BB3" w:rsidRPr="0043224D">
        <w:rPr>
          <w:rFonts w:ascii="Times New Roman" w:hAnsi="Times New Roman" w:cs="Times New Roman"/>
          <w:sz w:val="24"/>
          <w:szCs w:val="24"/>
        </w:rPr>
        <w:t>people’s</w:t>
      </w:r>
      <w:r w:rsidR="00A87F87" w:rsidRPr="0043224D">
        <w:rPr>
          <w:rFonts w:ascii="Times New Roman" w:hAnsi="Times New Roman" w:cs="Times New Roman"/>
          <w:sz w:val="24"/>
          <w:szCs w:val="24"/>
        </w:rPr>
        <w:t xml:space="preserve"> </w:t>
      </w:r>
      <w:r w:rsidR="0073495D" w:rsidRPr="0043224D">
        <w:rPr>
          <w:rFonts w:ascii="Times New Roman" w:hAnsi="Times New Roman" w:cs="Times New Roman"/>
          <w:sz w:val="24"/>
          <w:szCs w:val="24"/>
        </w:rPr>
        <w:t>displacement and dispossession</w:t>
      </w:r>
      <w:r w:rsidR="00084D63">
        <w:rPr>
          <w:rFonts w:ascii="Times New Roman" w:hAnsi="Times New Roman" w:cs="Times New Roman"/>
          <w:sz w:val="24"/>
          <w:szCs w:val="24"/>
        </w:rPr>
        <w:t xml:space="preserve"> </w:t>
      </w:r>
      <w:r w:rsidR="00B37EF0" w:rsidRPr="0043224D">
        <w:rPr>
          <w:rStyle w:val="FootnoteReference"/>
          <w:rFonts w:ascii="Times New Roman" w:hAnsi="Times New Roman" w:cs="Times New Roman"/>
          <w:sz w:val="24"/>
          <w:szCs w:val="24"/>
        </w:rPr>
        <w:footnoteReference w:id="9"/>
      </w:r>
      <w:r w:rsidRPr="0043224D">
        <w:rPr>
          <w:rFonts w:ascii="Times New Roman" w:hAnsi="Times New Roman" w:cs="Times New Roman"/>
          <w:sz w:val="24"/>
          <w:szCs w:val="24"/>
        </w:rPr>
        <w:t xml:space="preserve"> </w:t>
      </w:r>
      <w:r w:rsidR="00A87F87" w:rsidRPr="0043224D">
        <w:rPr>
          <w:rFonts w:ascii="Times New Roman" w:hAnsi="Times New Roman" w:cs="Times New Roman"/>
          <w:sz w:val="24"/>
          <w:szCs w:val="24"/>
        </w:rPr>
        <w:t xml:space="preserve">as </w:t>
      </w:r>
      <w:r w:rsidRPr="0043224D">
        <w:rPr>
          <w:rFonts w:ascii="Times New Roman" w:hAnsi="Times New Roman" w:cs="Times New Roman"/>
          <w:sz w:val="24"/>
          <w:szCs w:val="24"/>
        </w:rPr>
        <w:t xml:space="preserve">suffered by </w:t>
      </w:r>
      <w:r w:rsidR="00B37EF0" w:rsidRPr="0043224D">
        <w:rPr>
          <w:rFonts w:ascii="Times New Roman" w:hAnsi="Times New Roman" w:cs="Times New Roman"/>
          <w:sz w:val="24"/>
          <w:szCs w:val="24"/>
        </w:rPr>
        <w:t>them</w:t>
      </w:r>
      <w:r w:rsidR="00E428EB" w:rsidRPr="0043224D">
        <w:rPr>
          <w:rFonts w:ascii="Times New Roman" w:hAnsi="Times New Roman" w:cs="Times New Roman"/>
          <w:sz w:val="24"/>
          <w:szCs w:val="24"/>
        </w:rPr>
        <w:t xml:space="preserve"> particularly</w:t>
      </w:r>
      <w:r w:rsidR="00413CD2" w:rsidRPr="0043224D">
        <w:rPr>
          <w:rFonts w:ascii="Times New Roman" w:hAnsi="Times New Roman" w:cs="Times New Roman"/>
          <w:sz w:val="24"/>
          <w:szCs w:val="24"/>
        </w:rPr>
        <w:t xml:space="preserve"> as a result of mining</w:t>
      </w:r>
      <w:r w:rsidR="00E428EB" w:rsidRPr="0043224D">
        <w:rPr>
          <w:rFonts w:ascii="Times New Roman" w:hAnsi="Times New Roman" w:cs="Times New Roman"/>
          <w:sz w:val="24"/>
          <w:szCs w:val="24"/>
        </w:rPr>
        <w:t>, logging</w:t>
      </w:r>
      <w:r w:rsidR="00413CD2" w:rsidRPr="0043224D">
        <w:rPr>
          <w:rFonts w:ascii="Times New Roman" w:hAnsi="Times New Roman" w:cs="Times New Roman"/>
          <w:sz w:val="24"/>
          <w:szCs w:val="24"/>
        </w:rPr>
        <w:t xml:space="preserve"> and dam building</w:t>
      </w:r>
      <w:r w:rsidR="00E07F9C" w:rsidRPr="0043224D">
        <w:rPr>
          <w:rFonts w:ascii="Times New Roman" w:hAnsi="Times New Roman" w:cs="Times New Roman"/>
          <w:sz w:val="24"/>
          <w:szCs w:val="24"/>
        </w:rPr>
        <w:t>.</w:t>
      </w:r>
      <w:r w:rsidR="00B14AB1" w:rsidRPr="0043224D">
        <w:rPr>
          <w:rStyle w:val="FootnoteReference"/>
          <w:rFonts w:ascii="Times New Roman" w:hAnsi="Times New Roman" w:cs="Times New Roman"/>
          <w:sz w:val="24"/>
          <w:szCs w:val="24"/>
        </w:rPr>
        <w:footnoteReference w:id="10"/>
      </w:r>
      <w:r w:rsidRPr="0043224D">
        <w:rPr>
          <w:rFonts w:ascii="Times New Roman" w:hAnsi="Times New Roman" w:cs="Times New Roman"/>
          <w:sz w:val="24"/>
          <w:szCs w:val="24"/>
        </w:rPr>
        <w:t xml:space="preserve"> </w:t>
      </w:r>
      <w:r w:rsidR="00997A62" w:rsidRPr="0043224D">
        <w:rPr>
          <w:rFonts w:ascii="Times New Roman" w:hAnsi="Times New Roman" w:cs="Times New Roman"/>
          <w:sz w:val="24"/>
          <w:szCs w:val="24"/>
        </w:rPr>
        <w:t xml:space="preserve"> </w:t>
      </w:r>
      <w:r w:rsidR="000D437D" w:rsidRPr="0043224D">
        <w:rPr>
          <w:rFonts w:ascii="Times New Roman" w:hAnsi="Times New Roman" w:cs="Times New Roman"/>
          <w:sz w:val="24"/>
          <w:szCs w:val="24"/>
        </w:rPr>
        <w:t xml:space="preserve">Although </w:t>
      </w:r>
      <w:r w:rsidR="00413CD2" w:rsidRPr="0043224D">
        <w:rPr>
          <w:rFonts w:ascii="Times New Roman" w:hAnsi="Times New Roman" w:cs="Times New Roman"/>
          <w:sz w:val="24"/>
          <w:szCs w:val="24"/>
        </w:rPr>
        <w:t xml:space="preserve">development-induced </w:t>
      </w:r>
      <w:r w:rsidR="000D437D" w:rsidRPr="0043224D">
        <w:rPr>
          <w:rFonts w:ascii="Times New Roman" w:hAnsi="Times New Roman" w:cs="Times New Roman"/>
          <w:sz w:val="24"/>
          <w:szCs w:val="24"/>
        </w:rPr>
        <w:t>displacement</w:t>
      </w:r>
      <w:r w:rsidR="00413CD2" w:rsidRPr="0043224D">
        <w:rPr>
          <w:rFonts w:ascii="Times New Roman" w:hAnsi="Times New Roman" w:cs="Times New Roman"/>
          <w:sz w:val="24"/>
          <w:szCs w:val="24"/>
        </w:rPr>
        <w:t xml:space="preserve"> </w:t>
      </w:r>
      <w:r w:rsidR="000D437D" w:rsidRPr="0043224D">
        <w:rPr>
          <w:rFonts w:ascii="Times New Roman" w:hAnsi="Times New Roman" w:cs="Times New Roman"/>
          <w:sz w:val="24"/>
          <w:szCs w:val="24"/>
        </w:rPr>
        <w:t>is</w:t>
      </w:r>
      <w:r w:rsidRPr="0043224D">
        <w:rPr>
          <w:rFonts w:ascii="Times New Roman" w:hAnsi="Times New Roman" w:cs="Times New Roman"/>
          <w:sz w:val="24"/>
          <w:szCs w:val="24"/>
        </w:rPr>
        <w:t xml:space="preserve"> not specific to </w:t>
      </w:r>
      <w:r w:rsidR="00B37EF0" w:rsidRPr="0043224D">
        <w:rPr>
          <w:rFonts w:ascii="Times New Roman" w:hAnsi="Times New Roman" w:cs="Times New Roman"/>
          <w:sz w:val="24"/>
          <w:szCs w:val="24"/>
        </w:rPr>
        <w:t>indigenous peoples</w:t>
      </w:r>
      <w:r w:rsidRPr="0043224D">
        <w:rPr>
          <w:rFonts w:ascii="Times New Roman" w:hAnsi="Times New Roman" w:cs="Times New Roman"/>
          <w:sz w:val="24"/>
          <w:szCs w:val="24"/>
        </w:rPr>
        <w:t>,</w:t>
      </w:r>
      <w:r w:rsidR="00413CD2" w:rsidRPr="0043224D">
        <w:rPr>
          <w:rFonts w:ascii="Times New Roman" w:hAnsi="Times New Roman" w:cs="Times New Roman"/>
          <w:sz w:val="24"/>
          <w:szCs w:val="24"/>
        </w:rPr>
        <w:t xml:space="preserve"> poor urban dwellers </w:t>
      </w:r>
      <w:r w:rsidR="00576285" w:rsidRPr="0043224D">
        <w:rPr>
          <w:rFonts w:ascii="Times New Roman" w:hAnsi="Times New Roman" w:cs="Times New Roman"/>
          <w:sz w:val="24"/>
          <w:szCs w:val="24"/>
        </w:rPr>
        <w:t xml:space="preserve">for instance </w:t>
      </w:r>
      <w:r w:rsidR="00413CD2" w:rsidRPr="0043224D">
        <w:rPr>
          <w:rFonts w:ascii="Times New Roman" w:hAnsi="Times New Roman" w:cs="Times New Roman"/>
          <w:sz w:val="24"/>
          <w:szCs w:val="24"/>
        </w:rPr>
        <w:t>are</w:t>
      </w:r>
      <w:r w:rsidR="00576285" w:rsidRPr="0043224D">
        <w:rPr>
          <w:rFonts w:ascii="Times New Roman" w:hAnsi="Times New Roman" w:cs="Times New Roman"/>
          <w:sz w:val="24"/>
          <w:szCs w:val="24"/>
        </w:rPr>
        <w:t xml:space="preserve"> also</w:t>
      </w:r>
      <w:r w:rsidR="00413CD2" w:rsidRPr="0043224D">
        <w:rPr>
          <w:rFonts w:ascii="Times New Roman" w:hAnsi="Times New Roman" w:cs="Times New Roman"/>
          <w:sz w:val="24"/>
          <w:szCs w:val="24"/>
        </w:rPr>
        <w:t xml:space="preserve"> routinely displaced to make way for supermarkets</w:t>
      </w:r>
      <w:r w:rsidR="00E748E8" w:rsidRPr="0043224D">
        <w:rPr>
          <w:rFonts w:ascii="Times New Roman" w:hAnsi="Times New Roman" w:cs="Times New Roman"/>
          <w:sz w:val="24"/>
          <w:szCs w:val="24"/>
        </w:rPr>
        <w:t xml:space="preserve"> and highways</w:t>
      </w:r>
      <w:r w:rsidR="00821DC4" w:rsidRPr="0043224D">
        <w:rPr>
          <w:rFonts w:ascii="Times New Roman" w:hAnsi="Times New Roman" w:cs="Times New Roman"/>
          <w:sz w:val="24"/>
          <w:szCs w:val="24"/>
        </w:rPr>
        <w:t xml:space="preserve"> in developing countries,</w:t>
      </w:r>
      <w:r w:rsidR="00413CD2" w:rsidRPr="0043224D">
        <w:rPr>
          <w:rFonts w:ascii="Times New Roman" w:hAnsi="Times New Roman" w:cs="Times New Roman"/>
          <w:sz w:val="24"/>
          <w:szCs w:val="24"/>
        </w:rPr>
        <w:t xml:space="preserve"> </w:t>
      </w:r>
      <w:r w:rsidR="000D437D" w:rsidRPr="0043224D">
        <w:rPr>
          <w:rFonts w:ascii="Times New Roman" w:hAnsi="Times New Roman" w:cs="Times New Roman"/>
          <w:sz w:val="24"/>
          <w:szCs w:val="24"/>
        </w:rPr>
        <w:t>it is</w:t>
      </w:r>
      <w:r w:rsidR="00B37EF0" w:rsidRPr="0043224D">
        <w:rPr>
          <w:rFonts w:ascii="Times New Roman" w:hAnsi="Times New Roman" w:cs="Times New Roman"/>
          <w:sz w:val="24"/>
          <w:szCs w:val="24"/>
        </w:rPr>
        <w:t xml:space="preserve"> nonetheless</w:t>
      </w:r>
      <w:r w:rsidR="000D437D" w:rsidRPr="0043224D">
        <w:rPr>
          <w:rFonts w:ascii="Times New Roman" w:hAnsi="Times New Roman" w:cs="Times New Roman"/>
          <w:sz w:val="24"/>
          <w:szCs w:val="24"/>
        </w:rPr>
        <w:t xml:space="preserve"> of particular significance</w:t>
      </w:r>
      <w:r w:rsidRPr="0043224D">
        <w:rPr>
          <w:rFonts w:ascii="Times New Roman" w:hAnsi="Times New Roman" w:cs="Times New Roman"/>
          <w:sz w:val="24"/>
          <w:szCs w:val="24"/>
        </w:rPr>
        <w:t xml:space="preserve"> because of </w:t>
      </w:r>
      <w:r w:rsidR="00B37EF0" w:rsidRPr="0043224D">
        <w:rPr>
          <w:rFonts w:ascii="Times New Roman" w:hAnsi="Times New Roman" w:cs="Times New Roman"/>
          <w:sz w:val="24"/>
          <w:szCs w:val="24"/>
        </w:rPr>
        <w:t>indigenous peoples</w:t>
      </w:r>
      <w:r w:rsidRPr="0043224D">
        <w:rPr>
          <w:rFonts w:ascii="Times New Roman" w:hAnsi="Times New Roman" w:cs="Times New Roman"/>
          <w:sz w:val="24"/>
          <w:szCs w:val="24"/>
        </w:rPr>
        <w:t xml:space="preserve"> </w:t>
      </w:r>
      <w:r w:rsidR="000D437D" w:rsidRPr="0043224D">
        <w:rPr>
          <w:rFonts w:ascii="Times New Roman" w:hAnsi="Times New Roman" w:cs="Times New Roman"/>
          <w:sz w:val="24"/>
          <w:szCs w:val="24"/>
        </w:rPr>
        <w:t>socio-</w:t>
      </w:r>
      <w:r w:rsidRPr="0043224D">
        <w:rPr>
          <w:rFonts w:ascii="Times New Roman" w:hAnsi="Times New Roman" w:cs="Times New Roman"/>
          <w:sz w:val="24"/>
          <w:szCs w:val="24"/>
        </w:rPr>
        <w:t>cultural, economic and spiritual ties to land, forests, rivers and mountains</w:t>
      </w:r>
      <w:r w:rsidR="000D437D" w:rsidRPr="0043224D">
        <w:rPr>
          <w:rFonts w:ascii="Times New Roman" w:hAnsi="Times New Roman" w:cs="Times New Roman"/>
          <w:sz w:val="24"/>
          <w:szCs w:val="24"/>
        </w:rPr>
        <w:t xml:space="preserve">. </w:t>
      </w:r>
      <w:r w:rsidR="005A2B97" w:rsidRPr="0043224D">
        <w:rPr>
          <w:rFonts w:ascii="Times New Roman" w:hAnsi="Times New Roman" w:cs="Times New Roman"/>
          <w:sz w:val="24"/>
          <w:szCs w:val="24"/>
        </w:rPr>
        <w:t>Moreover, i</w:t>
      </w:r>
      <w:r w:rsidR="00821DC4" w:rsidRPr="0043224D">
        <w:rPr>
          <w:rFonts w:ascii="Times New Roman" w:hAnsi="Times New Roman" w:cs="Times New Roman"/>
          <w:sz w:val="24"/>
          <w:szCs w:val="24"/>
        </w:rPr>
        <w:t>t is a trend with deep historic roots in the ‘civilising’</w:t>
      </w:r>
      <w:r w:rsidR="00821DC4" w:rsidRPr="00254C2D">
        <w:rPr>
          <w:rFonts w:ascii="Times New Roman" w:hAnsi="Times New Roman" w:cs="Times New Roman"/>
          <w:sz w:val="28"/>
          <w:szCs w:val="28"/>
        </w:rPr>
        <w:t xml:space="preserve"> </w:t>
      </w:r>
      <w:r w:rsidR="00821DC4" w:rsidRPr="0043224D">
        <w:rPr>
          <w:rFonts w:ascii="Times New Roman" w:hAnsi="Times New Roman" w:cs="Times New Roman"/>
          <w:sz w:val="24"/>
          <w:szCs w:val="24"/>
        </w:rPr>
        <w:t xml:space="preserve">rationale of </w:t>
      </w:r>
      <w:r w:rsidR="008A7080" w:rsidRPr="0043224D">
        <w:rPr>
          <w:rFonts w:ascii="Times New Roman" w:hAnsi="Times New Roman" w:cs="Times New Roman"/>
          <w:sz w:val="24"/>
          <w:szCs w:val="24"/>
        </w:rPr>
        <w:t>empire and conquest,</w:t>
      </w:r>
      <w:r w:rsidR="00144465" w:rsidRPr="0043224D">
        <w:rPr>
          <w:rStyle w:val="FootnoteReference"/>
          <w:rFonts w:ascii="Times New Roman" w:hAnsi="Times New Roman" w:cs="Times New Roman"/>
          <w:sz w:val="24"/>
          <w:szCs w:val="24"/>
        </w:rPr>
        <w:footnoteReference w:id="11"/>
      </w:r>
      <w:r w:rsidR="008A7080" w:rsidRPr="0043224D">
        <w:rPr>
          <w:rFonts w:ascii="Times New Roman" w:hAnsi="Times New Roman" w:cs="Times New Roman"/>
          <w:sz w:val="24"/>
          <w:szCs w:val="24"/>
        </w:rPr>
        <w:t xml:space="preserve"> and one w</w:t>
      </w:r>
      <w:r w:rsidR="00E07F9C" w:rsidRPr="0043224D">
        <w:rPr>
          <w:rFonts w:ascii="Times New Roman" w:hAnsi="Times New Roman" w:cs="Times New Roman"/>
          <w:sz w:val="24"/>
          <w:szCs w:val="24"/>
        </w:rPr>
        <w:t>hich is increasing apace in the present-day globalised</w:t>
      </w:r>
      <w:r w:rsidR="008A7080" w:rsidRPr="0043224D">
        <w:rPr>
          <w:rFonts w:ascii="Times New Roman" w:hAnsi="Times New Roman" w:cs="Times New Roman"/>
          <w:sz w:val="24"/>
          <w:szCs w:val="24"/>
        </w:rPr>
        <w:t xml:space="preserve"> age of </w:t>
      </w:r>
      <w:r w:rsidR="00576285" w:rsidRPr="0043224D">
        <w:rPr>
          <w:rFonts w:ascii="Times New Roman" w:hAnsi="Times New Roman" w:cs="Times New Roman"/>
          <w:sz w:val="24"/>
          <w:szCs w:val="24"/>
        </w:rPr>
        <w:t>rapid</w:t>
      </w:r>
      <w:r w:rsidR="00C50E10" w:rsidRPr="0043224D">
        <w:rPr>
          <w:rFonts w:ascii="Times New Roman" w:hAnsi="Times New Roman" w:cs="Times New Roman"/>
          <w:sz w:val="24"/>
          <w:szCs w:val="24"/>
        </w:rPr>
        <w:t xml:space="preserve"> infrastructural development.</w:t>
      </w:r>
      <w:r w:rsidR="00E07F9C" w:rsidRPr="0043224D">
        <w:rPr>
          <w:rStyle w:val="FootnoteReference"/>
          <w:rFonts w:ascii="Times New Roman" w:hAnsi="Times New Roman" w:cs="Times New Roman"/>
          <w:sz w:val="24"/>
          <w:szCs w:val="24"/>
        </w:rPr>
        <w:footnoteReference w:id="12"/>
      </w:r>
      <w:r w:rsidR="00821DC4" w:rsidRPr="0043224D">
        <w:rPr>
          <w:rFonts w:ascii="Times New Roman" w:hAnsi="Times New Roman" w:cs="Times New Roman"/>
          <w:sz w:val="24"/>
          <w:szCs w:val="24"/>
        </w:rPr>
        <w:t xml:space="preserve"> </w:t>
      </w:r>
    </w:p>
    <w:p w:rsidR="00CD6EC9" w:rsidRPr="0043224D" w:rsidRDefault="007A0D17" w:rsidP="00060EEC">
      <w:pPr>
        <w:spacing w:line="360" w:lineRule="auto"/>
        <w:ind w:firstLine="720"/>
        <w:rPr>
          <w:rFonts w:ascii="Times New Roman" w:hAnsi="Times New Roman" w:cs="Times New Roman"/>
          <w:i/>
          <w:sz w:val="24"/>
          <w:szCs w:val="24"/>
        </w:rPr>
      </w:pPr>
      <w:r w:rsidRPr="0043224D">
        <w:rPr>
          <w:rFonts w:ascii="Times New Roman" w:hAnsi="Times New Roman" w:cs="Times New Roman"/>
          <w:sz w:val="24"/>
          <w:szCs w:val="24"/>
        </w:rPr>
        <w:t xml:space="preserve">The legal focus </w:t>
      </w:r>
      <w:r w:rsidR="00576285" w:rsidRPr="0043224D">
        <w:rPr>
          <w:rFonts w:ascii="Times New Roman" w:hAnsi="Times New Roman" w:cs="Times New Roman"/>
          <w:sz w:val="24"/>
          <w:szCs w:val="24"/>
        </w:rPr>
        <w:t>will be</w:t>
      </w:r>
      <w:r w:rsidRPr="0043224D">
        <w:rPr>
          <w:rFonts w:ascii="Times New Roman" w:hAnsi="Times New Roman" w:cs="Times New Roman"/>
          <w:sz w:val="24"/>
          <w:szCs w:val="24"/>
        </w:rPr>
        <w:t xml:space="preserve"> on</w:t>
      </w:r>
      <w:r w:rsidR="0046419C" w:rsidRPr="0043224D">
        <w:rPr>
          <w:rFonts w:ascii="Times New Roman" w:hAnsi="Times New Roman" w:cs="Times New Roman"/>
          <w:sz w:val="24"/>
          <w:szCs w:val="24"/>
        </w:rPr>
        <w:t xml:space="preserve"> the right not to be </w:t>
      </w:r>
      <w:r w:rsidR="00556077" w:rsidRPr="0043224D">
        <w:rPr>
          <w:rFonts w:ascii="Times New Roman" w:hAnsi="Times New Roman" w:cs="Times New Roman"/>
          <w:sz w:val="24"/>
          <w:szCs w:val="24"/>
        </w:rPr>
        <w:t>displaced, which incorporates the concepts of forced</w:t>
      </w:r>
      <w:r w:rsidR="00B14AB1" w:rsidRPr="0043224D">
        <w:rPr>
          <w:rFonts w:ascii="Times New Roman" w:hAnsi="Times New Roman" w:cs="Times New Roman"/>
          <w:sz w:val="24"/>
          <w:szCs w:val="24"/>
        </w:rPr>
        <w:t xml:space="preserve"> displacement and forced eviction</w:t>
      </w:r>
      <w:r w:rsidR="00556077" w:rsidRPr="0043224D">
        <w:rPr>
          <w:rFonts w:ascii="Times New Roman" w:hAnsi="Times New Roman" w:cs="Times New Roman"/>
          <w:b/>
          <w:sz w:val="24"/>
          <w:szCs w:val="24"/>
        </w:rPr>
        <w:t>.</w:t>
      </w:r>
      <w:r w:rsidR="00E45258" w:rsidRPr="00086DF8">
        <w:rPr>
          <w:rStyle w:val="FootnoteReference"/>
          <w:rFonts w:ascii="Times New Roman" w:hAnsi="Times New Roman" w:cs="Times New Roman"/>
          <w:sz w:val="24"/>
          <w:szCs w:val="24"/>
        </w:rPr>
        <w:footnoteReference w:id="13"/>
      </w:r>
      <w:r w:rsidR="00B14AB1" w:rsidRPr="0043224D">
        <w:rPr>
          <w:rFonts w:ascii="Times New Roman" w:hAnsi="Times New Roman" w:cs="Times New Roman"/>
          <w:sz w:val="24"/>
          <w:szCs w:val="24"/>
        </w:rPr>
        <w:t xml:space="preserve"> </w:t>
      </w:r>
      <w:r w:rsidR="00C50E10" w:rsidRPr="0043224D">
        <w:rPr>
          <w:rFonts w:ascii="Times New Roman" w:hAnsi="Times New Roman" w:cs="Times New Roman"/>
          <w:sz w:val="24"/>
          <w:szCs w:val="24"/>
        </w:rPr>
        <w:t xml:space="preserve"> </w:t>
      </w:r>
      <w:r w:rsidR="00EC0485" w:rsidRPr="0043224D">
        <w:rPr>
          <w:rFonts w:ascii="Times New Roman" w:hAnsi="Times New Roman" w:cs="Times New Roman"/>
          <w:sz w:val="24"/>
          <w:szCs w:val="24"/>
        </w:rPr>
        <w:t xml:space="preserve"> The </w:t>
      </w:r>
      <w:r w:rsidR="0073495D" w:rsidRPr="0043224D">
        <w:rPr>
          <w:rFonts w:ascii="Times New Roman" w:hAnsi="Times New Roman" w:cs="Times New Roman"/>
          <w:sz w:val="24"/>
          <w:szCs w:val="24"/>
        </w:rPr>
        <w:t xml:space="preserve">scope </w:t>
      </w:r>
      <w:r w:rsidR="00EC0485" w:rsidRPr="0043224D">
        <w:rPr>
          <w:rFonts w:ascii="Times New Roman" w:hAnsi="Times New Roman" w:cs="Times New Roman"/>
          <w:sz w:val="24"/>
          <w:szCs w:val="24"/>
        </w:rPr>
        <w:t xml:space="preserve">of the rights of </w:t>
      </w:r>
      <w:r w:rsidR="00B37EF0" w:rsidRPr="0043224D">
        <w:rPr>
          <w:rFonts w:ascii="Times New Roman" w:hAnsi="Times New Roman" w:cs="Times New Roman"/>
          <w:sz w:val="24"/>
          <w:szCs w:val="24"/>
        </w:rPr>
        <w:t>indigenous peoples</w:t>
      </w:r>
      <w:r w:rsidR="00B37EF0" w:rsidRPr="0043224D">
        <w:rPr>
          <w:rFonts w:ascii="Times New Roman" w:hAnsi="Times New Roman" w:cs="Times New Roman"/>
          <w:i/>
          <w:sz w:val="24"/>
          <w:szCs w:val="24"/>
        </w:rPr>
        <w:t xml:space="preserve"> </w:t>
      </w:r>
      <w:r w:rsidR="00EC0485" w:rsidRPr="0043224D">
        <w:rPr>
          <w:rFonts w:ascii="Times New Roman" w:hAnsi="Times New Roman" w:cs="Times New Roman"/>
          <w:sz w:val="24"/>
          <w:szCs w:val="24"/>
        </w:rPr>
        <w:t>not to be displaced by development projects is based on several international instruments-namely</w:t>
      </w:r>
      <w:r w:rsidR="001713C8" w:rsidRPr="0043224D">
        <w:rPr>
          <w:rFonts w:ascii="Times New Roman" w:hAnsi="Times New Roman" w:cs="Times New Roman"/>
          <w:sz w:val="24"/>
          <w:szCs w:val="24"/>
        </w:rPr>
        <w:t>:</w:t>
      </w:r>
      <w:r w:rsidR="00A4799B" w:rsidRPr="0043224D">
        <w:rPr>
          <w:rFonts w:ascii="Times New Roman" w:hAnsi="Times New Roman" w:cs="Times New Roman"/>
          <w:iCs/>
          <w:sz w:val="24"/>
          <w:szCs w:val="24"/>
        </w:rPr>
        <w:t xml:space="preserve"> </w:t>
      </w:r>
      <w:r w:rsidR="00745D3B" w:rsidRPr="0043224D">
        <w:rPr>
          <w:rFonts w:ascii="Times New Roman" w:hAnsi="Times New Roman" w:cs="Times New Roman"/>
          <w:iCs/>
          <w:sz w:val="24"/>
          <w:szCs w:val="24"/>
        </w:rPr>
        <w:t xml:space="preserve"> the </w:t>
      </w:r>
      <w:r w:rsidR="00A4799B" w:rsidRPr="0043224D">
        <w:rPr>
          <w:rFonts w:ascii="Times New Roman" w:hAnsi="Times New Roman" w:cs="Times New Roman"/>
          <w:iCs/>
          <w:sz w:val="24"/>
          <w:szCs w:val="24"/>
        </w:rPr>
        <w:t xml:space="preserve">Convention </w:t>
      </w:r>
      <w:r w:rsidR="00745D3B" w:rsidRPr="0043224D">
        <w:rPr>
          <w:rFonts w:ascii="Times New Roman" w:hAnsi="Times New Roman" w:cs="Times New Roman"/>
          <w:iCs/>
          <w:sz w:val="24"/>
          <w:szCs w:val="24"/>
        </w:rPr>
        <w:t>C</w:t>
      </w:r>
      <w:r w:rsidR="00A4799B" w:rsidRPr="0043224D">
        <w:rPr>
          <w:rFonts w:ascii="Times New Roman" w:hAnsi="Times New Roman" w:cs="Times New Roman"/>
          <w:iCs/>
          <w:sz w:val="24"/>
          <w:szCs w:val="24"/>
        </w:rPr>
        <w:t>oncerning Indigenous and Tribal Peoples in Independent Countries</w:t>
      </w:r>
      <w:r w:rsidR="00EC0485" w:rsidRPr="0043224D">
        <w:rPr>
          <w:rFonts w:ascii="Times New Roman" w:hAnsi="Times New Roman" w:cs="Times New Roman"/>
          <w:sz w:val="24"/>
          <w:szCs w:val="24"/>
        </w:rPr>
        <w:t xml:space="preserve"> </w:t>
      </w:r>
      <w:r w:rsidR="00A4799B" w:rsidRPr="0043224D">
        <w:rPr>
          <w:rFonts w:ascii="Times New Roman" w:hAnsi="Times New Roman" w:cs="Times New Roman"/>
          <w:sz w:val="24"/>
          <w:szCs w:val="24"/>
        </w:rPr>
        <w:t xml:space="preserve"> (hereafter </w:t>
      </w:r>
      <w:r w:rsidR="00CD6EC9" w:rsidRPr="00CF22EB">
        <w:rPr>
          <w:rFonts w:ascii="Times New Roman" w:hAnsi="Times New Roman" w:cs="Times New Roman"/>
          <w:sz w:val="24"/>
          <w:szCs w:val="24"/>
        </w:rPr>
        <w:t>ILO 1</w:t>
      </w:r>
      <w:r w:rsidR="00CD6EC9" w:rsidRPr="0043224D">
        <w:rPr>
          <w:rFonts w:ascii="Times New Roman" w:hAnsi="Times New Roman" w:cs="Times New Roman"/>
          <w:sz w:val="24"/>
          <w:szCs w:val="24"/>
        </w:rPr>
        <w:t>69</w:t>
      </w:r>
      <w:r w:rsidR="00A4799B" w:rsidRPr="0043224D">
        <w:rPr>
          <w:rFonts w:ascii="Times New Roman" w:hAnsi="Times New Roman" w:cs="Times New Roman"/>
          <w:sz w:val="24"/>
          <w:szCs w:val="24"/>
        </w:rPr>
        <w:t>)</w:t>
      </w:r>
      <w:r w:rsidR="00086DF8">
        <w:rPr>
          <w:rFonts w:ascii="Times New Roman" w:hAnsi="Times New Roman" w:cs="Times New Roman"/>
          <w:sz w:val="24"/>
          <w:szCs w:val="24"/>
        </w:rPr>
        <w:t>;</w:t>
      </w:r>
      <w:r w:rsidR="00DA7EF8" w:rsidRPr="0043224D">
        <w:rPr>
          <w:rStyle w:val="FootnoteReference"/>
          <w:rFonts w:ascii="Times New Roman" w:hAnsi="Times New Roman" w:cs="Times New Roman"/>
          <w:sz w:val="24"/>
          <w:szCs w:val="24"/>
        </w:rPr>
        <w:footnoteReference w:id="14"/>
      </w:r>
      <w:r w:rsidR="00EC0485" w:rsidRPr="0043224D">
        <w:rPr>
          <w:rFonts w:ascii="Times New Roman" w:hAnsi="Times New Roman" w:cs="Times New Roman"/>
          <w:sz w:val="24"/>
          <w:szCs w:val="24"/>
        </w:rPr>
        <w:t xml:space="preserve"> </w:t>
      </w:r>
      <w:r w:rsidR="00A4799B" w:rsidRPr="0043224D">
        <w:rPr>
          <w:rFonts w:ascii="Times New Roman" w:hAnsi="Times New Roman" w:cs="Times New Roman"/>
          <w:sz w:val="24"/>
          <w:szCs w:val="24"/>
        </w:rPr>
        <w:t xml:space="preserve">the United Nations  Declaration on the Rights of Indigenous Peoples (hereafter </w:t>
      </w:r>
      <w:r w:rsidR="00CD6EC9" w:rsidRPr="0043224D">
        <w:rPr>
          <w:rFonts w:ascii="Times New Roman" w:hAnsi="Times New Roman" w:cs="Times New Roman"/>
          <w:sz w:val="24"/>
          <w:szCs w:val="24"/>
        </w:rPr>
        <w:t>UNDRIP</w:t>
      </w:r>
      <w:r w:rsidR="00A4799B" w:rsidRPr="0043224D">
        <w:rPr>
          <w:rFonts w:ascii="Times New Roman" w:hAnsi="Times New Roman" w:cs="Times New Roman"/>
          <w:sz w:val="24"/>
          <w:szCs w:val="24"/>
        </w:rPr>
        <w:t>)</w:t>
      </w:r>
      <w:r w:rsidR="001713C8" w:rsidRPr="0043224D">
        <w:rPr>
          <w:rFonts w:ascii="Times New Roman" w:hAnsi="Times New Roman" w:cs="Times New Roman"/>
          <w:sz w:val="24"/>
          <w:szCs w:val="24"/>
        </w:rPr>
        <w:t>;</w:t>
      </w:r>
      <w:r w:rsidR="00DA7EF8" w:rsidRPr="0043224D">
        <w:rPr>
          <w:rStyle w:val="FootnoteReference"/>
          <w:rFonts w:ascii="Times New Roman" w:hAnsi="Times New Roman" w:cs="Times New Roman"/>
          <w:sz w:val="24"/>
          <w:szCs w:val="24"/>
        </w:rPr>
        <w:footnoteReference w:id="15"/>
      </w:r>
      <w:r w:rsidR="00EC0485" w:rsidRPr="0043224D">
        <w:rPr>
          <w:rFonts w:ascii="Times New Roman" w:hAnsi="Times New Roman" w:cs="Times New Roman"/>
          <w:sz w:val="24"/>
          <w:szCs w:val="24"/>
        </w:rPr>
        <w:t xml:space="preserve"> the U</w:t>
      </w:r>
      <w:r w:rsidR="00970014" w:rsidRPr="0043224D">
        <w:rPr>
          <w:rFonts w:ascii="Times New Roman" w:hAnsi="Times New Roman" w:cs="Times New Roman"/>
          <w:sz w:val="24"/>
          <w:szCs w:val="24"/>
        </w:rPr>
        <w:t xml:space="preserve">nited </w:t>
      </w:r>
      <w:r w:rsidR="00EC0485" w:rsidRPr="0043224D">
        <w:rPr>
          <w:rFonts w:ascii="Times New Roman" w:hAnsi="Times New Roman" w:cs="Times New Roman"/>
          <w:sz w:val="24"/>
          <w:szCs w:val="24"/>
        </w:rPr>
        <w:t>N</w:t>
      </w:r>
      <w:r w:rsidR="00970014" w:rsidRPr="0043224D">
        <w:rPr>
          <w:rFonts w:ascii="Times New Roman" w:hAnsi="Times New Roman" w:cs="Times New Roman"/>
          <w:sz w:val="24"/>
          <w:szCs w:val="24"/>
        </w:rPr>
        <w:t>ations</w:t>
      </w:r>
      <w:r w:rsidR="00EC0485" w:rsidRPr="0043224D">
        <w:rPr>
          <w:rFonts w:ascii="Times New Roman" w:hAnsi="Times New Roman" w:cs="Times New Roman"/>
          <w:sz w:val="24"/>
          <w:szCs w:val="24"/>
        </w:rPr>
        <w:t xml:space="preserve"> Guiding Principles</w:t>
      </w:r>
      <w:r w:rsidR="00DA7EF8" w:rsidRPr="0043224D">
        <w:rPr>
          <w:rFonts w:ascii="Times New Roman" w:hAnsi="Times New Roman" w:cs="Times New Roman"/>
          <w:sz w:val="24"/>
          <w:szCs w:val="24"/>
        </w:rPr>
        <w:t xml:space="preserve"> on Internal </w:t>
      </w:r>
      <w:r w:rsidR="00A4799B" w:rsidRPr="0043224D">
        <w:rPr>
          <w:rFonts w:ascii="Times New Roman" w:hAnsi="Times New Roman" w:cs="Times New Roman"/>
          <w:sz w:val="24"/>
          <w:szCs w:val="24"/>
        </w:rPr>
        <w:t>Displacement</w:t>
      </w:r>
      <w:r w:rsidR="001713C8" w:rsidRPr="0043224D">
        <w:rPr>
          <w:rFonts w:ascii="Times New Roman" w:hAnsi="Times New Roman" w:cs="Times New Roman"/>
          <w:i/>
          <w:sz w:val="24"/>
          <w:szCs w:val="24"/>
        </w:rPr>
        <w:t>;</w:t>
      </w:r>
      <w:r w:rsidR="00745D3B" w:rsidRPr="0043224D">
        <w:rPr>
          <w:rStyle w:val="FootnoteReference"/>
          <w:rFonts w:ascii="Times New Roman" w:hAnsi="Times New Roman" w:cs="Times New Roman"/>
          <w:sz w:val="24"/>
          <w:szCs w:val="24"/>
        </w:rPr>
        <w:footnoteReference w:id="16"/>
      </w:r>
      <w:r w:rsidR="00CD6EC9" w:rsidRPr="0043224D">
        <w:rPr>
          <w:rFonts w:ascii="Times New Roman" w:hAnsi="Times New Roman" w:cs="Times New Roman"/>
          <w:i/>
          <w:sz w:val="24"/>
          <w:szCs w:val="24"/>
        </w:rPr>
        <w:t xml:space="preserve"> </w:t>
      </w:r>
      <w:r w:rsidR="00745D3B" w:rsidRPr="0043224D">
        <w:rPr>
          <w:rFonts w:ascii="Times New Roman" w:hAnsi="Times New Roman" w:cs="Times New Roman"/>
          <w:sz w:val="24"/>
          <w:szCs w:val="24"/>
        </w:rPr>
        <w:t xml:space="preserve"> </w:t>
      </w:r>
      <w:r w:rsidR="001713C8" w:rsidRPr="0043224D">
        <w:rPr>
          <w:rFonts w:ascii="Times New Roman" w:hAnsi="Times New Roman" w:cs="Times New Roman"/>
          <w:sz w:val="24"/>
          <w:szCs w:val="24"/>
        </w:rPr>
        <w:t>t</w:t>
      </w:r>
      <w:r w:rsidR="00745D3B" w:rsidRPr="0043224D">
        <w:rPr>
          <w:rFonts w:ascii="Times New Roman" w:hAnsi="Times New Roman" w:cs="Times New Roman"/>
          <w:sz w:val="24"/>
          <w:szCs w:val="24"/>
        </w:rPr>
        <w:t xml:space="preserve">he International </w:t>
      </w:r>
      <w:r w:rsidR="00CD6EC9" w:rsidRPr="0043224D">
        <w:rPr>
          <w:rFonts w:ascii="Times New Roman" w:hAnsi="Times New Roman" w:cs="Times New Roman"/>
          <w:sz w:val="24"/>
          <w:szCs w:val="24"/>
        </w:rPr>
        <w:t>Covenant on Civil and Political Righ</w:t>
      </w:r>
      <w:r w:rsidR="001713C8" w:rsidRPr="0043224D">
        <w:rPr>
          <w:rFonts w:ascii="Times New Roman" w:hAnsi="Times New Roman" w:cs="Times New Roman"/>
          <w:sz w:val="24"/>
          <w:szCs w:val="24"/>
        </w:rPr>
        <w:t>ts</w:t>
      </w:r>
      <w:r w:rsidR="00A4799B" w:rsidRPr="0043224D">
        <w:rPr>
          <w:rFonts w:ascii="Times New Roman" w:hAnsi="Times New Roman" w:cs="Times New Roman"/>
          <w:sz w:val="24"/>
          <w:szCs w:val="24"/>
        </w:rPr>
        <w:t xml:space="preserve"> (here</w:t>
      </w:r>
      <w:r w:rsidR="00CD6EC9" w:rsidRPr="0043224D">
        <w:rPr>
          <w:rFonts w:ascii="Times New Roman" w:hAnsi="Times New Roman" w:cs="Times New Roman"/>
          <w:sz w:val="24"/>
          <w:szCs w:val="24"/>
        </w:rPr>
        <w:t>after ICCPR)</w:t>
      </w:r>
      <w:r w:rsidR="001713C8" w:rsidRPr="0043224D">
        <w:rPr>
          <w:rFonts w:ascii="Times New Roman" w:hAnsi="Times New Roman" w:cs="Times New Roman"/>
          <w:sz w:val="24"/>
          <w:szCs w:val="24"/>
        </w:rPr>
        <w:t>;</w:t>
      </w:r>
      <w:r w:rsidR="00CD6EC9" w:rsidRPr="0043224D">
        <w:rPr>
          <w:rStyle w:val="FootnoteReference"/>
          <w:rFonts w:ascii="Times New Roman" w:hAnsi="Times New Roman" w:cs="Times New Roman"/>
          <w:sz w:val="24"/>
          <w:szCs w:val="24"/>
        </w:rPr>
        <w:footnoteReference w:id="17"/>
      </w:r>
      <w:r w:rsidR="00CD6EC9" w:rsidRPr="0043224D">
        <w:rPr>
          <w:rFonts w:ascii="Times New Roman" w:hAnsi="Times New Roman" w:cs="Times New Roman"/>
          <w:sz w:val="24"/>
          <w:szCs w:val="24"/>
        </w:rPr>
        <w:t xml:space="preserve"> </w:t>
      </w:r>
      <w:r w:rsidR="001713C8" w:rsidRPr="0043224D">
        <w:rPr>
          <w:rFonts w:ascii="Times New Roman" w:hAnsi="Times New Roman" w:cs="Times New Roman"/>
          <w:sz w:val="24"/>
          <w:szCs w:val="24"/>
        </w:rPr>
        <w:t>and i</w:t>
      </w:r>
      <w:r w:rsidR="00F21CF9" w:rsidRPr="0043224D">
        <w:rPr>
          <w:rFonts w:ascii="Times New Roman" w:hAnsi="Times New Roman" w:cs="Times New Roman"/>
          <w:sz w:val="24"/>
          <w:szCs w:val="24"/>
        </w:rPr>
        <w:t xml:space="preserve">n addition, </w:t>
      </w:r>
      <w:r w:rsidR="001713C8" w:rsidRPr="0043224D">
        <w:rPr>
          <w:rFonts w:ascii="Times New Roman" w:hAnsi="Times New Roman" w:cs="Times New Roman"/>
          <w:sz w:val="24"/>
          <w:szCs w:val="24"/>
        </w:rPr>
        <w:t>the International Convention on the Elimination of All Forms of Racial Discrimination (hereafter ICERD).</w:t>
      </w:r>
      <w:r w:rsidR="001713C8" w:rsidRPr="0043224D">
        <w:rPr>
          <w:rStyle w:val="FootnoteReference"/>
          <w:rFonts w:ascii="Times New Roman" w:hAnsi="Times New Roman" w:cs="Times New Roman"/>
          <w:sz w:val="24"/>
          <w:szCs w:val="24"/>
        </w:rPr>
        <w:footnoteReference w:id="18"/>
      </w:r>
    </w:p>
    <w:p w:rsidR="00576285" w:rsidRPr="00254C2D" w:rsidRDefault="00ED6F51" w:rsidP="0043224D">
      <w:pPr>
        <w:pStyle w:val="Heading2"/>
        <w:spacing w:line="360" w:lineRule="auto"/>
      </w:pPr>
      <w:bookmarkStart w:id="8" w:name="_Toc399848341"/>
      <w:r>
        <w:t xml:space="preserve">1.4 </w:t>
      </w:r>
      <w:r w:rsidR="00576285" w:rsidRPr="00254C2D">
        <w:t>Research Questions and Central Argument</w:t>
      </w:r>
      <w:bookmarkEnd w:id="8"/>
      <w:r w:rsidR="00576285" w:rsidRPr="00254C2D">
        <w:t xml:space="preserve"> </w:t>
      </w:r>
      <w:r w:rsidR="00EC0485" w:rsidRPr="00254C2D">
        <w:t xml:space="preserve"> </w:t>
      </w:r>
    </w:p>
    <w:p w:rsidR="00865DA7" w:rsidRPr="0043224D" w:rsidRDefault="000815A5"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In light of the above contextual discussion, the principle research question asks: does international human rights law adequately protect the rights of </w:t>
      </w:r>
      <w:r w:rsidR="005A2B97" w:rsidRPr="0043224D">
        <w:rPr>
          <w:rFonts w:ascii="Times New Roman" w:hAnsi="Times New Roman" w:cs="Times New Roman"/>
          <w:sz w:val="24"/>
          <w:szCs w:val="24"/>
        </w:rPr>
        <w:t>i</w:t>
      </w:r>
      <w:r w:rsidR="00B37EF0" w:rsidRPr="0043224D">
        <w:rPr>
          <w:rFonts w:ascii="Times New Roman" w:hAnsi="Times New Roman" w:cs="Times New Roman"/>
          <w:sz w:val="24"/>
          <w:szCs w:val="24"/>
        </w:rPr>
        <w:t>ndigenous peoples</w:t>
      </w:r>
      <w:r w:rsidRPr="0043224D">
        <w:rPr>
          <w:rFonts w:ascii="Times New Roman" w:hAnsi="Times New Roman" w:cs="Times New Roman"/>
          <w:sz w:val="24"/>
          <w:szCs w:val="24"/>
        </w:rPr>
        <w:t xml:space="preserve"> from development-induced displacement?</w:t>
      </w:r>
      <w:r w:rsidR="00865DA7" w:rsidRPr="0043224D">
        <w:rPr>
          <w:rFonts w:ascii="Times New Roman" w:hAnsi="Times New Roman" w:cs="Times New Roman"/>
          <w:sz w:val="24"/>
          <w:szCs w:val="24"/>
        </w:rPr>
        <w:t xml:space="preserve"> Arising from this, the </w:t>
      </w:r>
      <w:r w:rsidR="005A2B97" w:rsidRPr="0043224D">
        <w:rPr>
          <w:rFonts w:ascii="Times New Roman" w:hAnsi="Times New Roman" w:cs="Times New Roman"/>
          <w:sz w:val="24"/>
          <w:szCs w:val="24"/>
        </w:rPr>
        <w:t xml:space="preserve">secondary </w:t>
      </w:r>
      <w:r w:rsidR="00865DA7" w:rsidRPr="0043224D">
        <w:rPr>
          <w:rFonts w:ascii="Times New Roman" w:hAnsi="Times New Roman" w:cs="Times New Roman"/>
          <w:sz w:val="24"/>
          <w:szCs w:val="24"/>
        </w:rPr>
        <w:t>research question asks: what are the specific obligations and responsibilities of s</w:t>
      </w:r>
      <w:r w:rsidR="00ED56D6" w:rsidRPr="0043224D">
        <w:rPr>
          <w:rFonts w:ascii="Times New Roman" w:hAnsi="Times New Roman" w:cs="Times New Roman"/>
          <w:sz w:val="24"/>
          <w:szCs w:val="24"/>
        </w:rPr>
        <w:t xml:space="preserve">tates </w:t>
      </w:r>
      <w:r w:rsidR="00865DA7" w:rsidRPr="0043224D">
        <w:rPr>
          <w:rFonts w:ascii="Times New Roman" w:hAnsi="Times New Roman" w:cs="Times New Roman"/>
          <w:sz w:val="24"/>
          <w:szCs w:val="24"/>
        </w:rPr>
        <w:t xml:space="preserve">under international law to protect </w:t>
      </w:r>
      <w:r w:rsidR="00B37EF0" w:rsidRPr="0043224D">
        <w:rPr>
          <w:rFonts w:ascii="Times New Roman" w:hAnsi="Times New Roman" w:cs="Times New Roman"/>
          <w:sz w:val="24"/>
          <w:szCs w:val="24"/>
        </w:rPr>
        <w:t>indigenous peoples</w:t>
      </w:r>
      <w:r w:rsidR="00865DA7" w:rsidRPr="0043224D">
        <w:rPr>
          <w:rFonts w:ascii="Times New Roman" w:hAnsi="Times New Roman" w:cs="Times New Roman"/>
          <w:sz w:val="24"/>
          <w:szCs w:val="24"/>
        </w:rPr>
        <w:t xml:space="preserve">, particularly before, but also during and after </w:t>
      </w:r>
      <w:r w:rsidR="00ED56D6" w:rsidRPr="0043224D">
        <w:rPr>
          <w:rFonts w:ascii="Times New Roman" w:hAnsi="Times New Roman" w:cs="Times New Roman"/>
          <w:sz w:val="24"/>
          <w:szCs w:val="24"/>
        </w:rPr>
        <w:t>development-induced displacement</w:t>
      </w:r>
      <w:r w:rsidR="00865DA7" w:rsidRPr="0043224D">
        <w:rPr>
          <w:rFonts w:ascii="Times New Roman" w:hAnsi="Times New Roman" w:cs="Times New Roman"/>
          <w:sz w:val="24"/>
          <w:szCs w:val="24"/>
        </w:rPr>
        <w:t>?</w:t>
      </w:r>
    </w:p>
    <w:p w:rsidR="00533D2B" w:rsidRPr="0043224D" w:rsidRDefault="008509A0" w:rsidP="00060EEC">
      <w:pPr>
        <w:spacing w:line="360" w:lineRule="auto"/>
        <w:ind w:firstLine="720"/>
        <w:rPr>
          <w:rFonts w:ascii="Times New Roman" w:eastAsiaTheme="majorEastAsia" w:hAnsi="Times New Roman" w:cs="Times New Roman"/>
          <w:color w:val="000000" w:themeColor="text1"/>
          <w:kern w:val="24"/>
          <w:sz w:val="24"/>
          <w:szCs w:val="24"/>
          <w:lang w:val="en-GB"/>
        </w:rPr>
      </w:pPr>
      <w:r w:rsidRPr="0043224D">
        <w:rPr>
          <w:rFonts w:ascii="Times New Roman" w:eastAsiaTheme="majorEastAsia" w:hAnsi="Times New Roman" w:cs="Times New Roman"/>
          <w:color w:val="000000" w:themeColor="text1"/>
          <w:kern w:val="24"/>
          <w:sz w:val="24"/>
          <w:szCs w:val="24"/>
          <w:lang w:val="en-GB"/>
        </w:rPr>
        <w:t>T</w:t>
      </w:r>
      <w:r w:rsidR="00865DA7" w:rsidRPr="0043224D">
        <w:rPr>
          <w:rFonts w:ascii="Times New Roman" w:eastAsiaTheme="majorEastAsia" w:hAnsi="Times New Roman" w:cs="Times New Roman"/>
          <w:color w:val="000000" w:themeColor="text1"/>
          <w:kern w:val="24"/>
          <w:sz w:val="24"/>
          <w:szCs w:val="24"/>
          <w:lang w:val="en-GB"/>
        </w:rPr>
        <w:t xml:space="preserve">he central argument of </w:t>
      </w:r>
      <w:r w:rsidR="00086DF8">
        <w:rPr>
          <w:rFonts w:ascii="Times New Roman" w:eastAsiaTheme="majorEastAsia" w:hAnsi="Times New Roman" w:cs="Times New Roman"/>
          <w:color w:val="000000" w:themeColor="text1"/>
          <w:kern w:val="24"/>
          <w:sz w:val="24"/>
          <w:szCs w:val="24"/>
          <w:lang w:val="en-GB"/>
        </w:rPr>
        <w:t xml:space="preserve">the </w:t>
      </w:r>
      <w:r w:rsidR="00865DA7" w:rsidRPr="0043224D">
        <w:rPr>
          <w:rFonts w:ascii="Times New Roman" w:eastAsiaTheme="majorEastAsia" w:hAnsi="Times New Roman" w:cs="Times New Roman"/>
          <w:color w:val="000000" w:themeColor="text1"/>
          <w:kern w:val="24"/>
          <w:sz w:val="24"/>
          <w:szCs w:val="24"/>
          <w:lang w:val="en-GB"/>
        </w:rPr>
        <w:t>thesis</w:t>
      </w:r>
      <w:r w:rsidR="00594382" w:rsidRPr="0043224D">
        <w:rPr>
          <w:rFonts w:ascii="Times New Roman" w:eastAsiaTheme="majorEastAsia" w:hAnsi="Times New Roman" w:cs="Times New Roman"/>
          <w:color w:val="000000" w:themeColor="text1"/>
          <w:kern w:val="24"/>
          <w:sz w:val="24"/>
          <w:szCs w:val="24"/>
          <w:lang w:val="en-GB"/>
        </w:rPr>
        <w:t xml:space="preserve"> assesses and evaluates</w:t>
      </w:r>
      <w:r w:rsidRPr="0043224D">
        <w:rPr>
          <w:rFonts w:ascii="Times New Roman" w:eastAsiaTheme="majorEastAsia" w:hAnsi="Times New Roman" w:cs="Times New Roman"/>
          <w:color w:val="000000" w:themeColor="text1"/>
          <w:kern w:val="24"/>
          <w:sz w:val="24"/>
          <w:szCs w:val="24"/>
          <w:lang w:val="en-GB"/>
        </w:rPr>
        <w:t xml:space="preserve"> where the balance lies,</w:t>
      </w:r>
      <w:r w:rsidR="001E64FD" w:rsidRPr="0043224D">
        <w:rPr>
          <w:rFonts w:ascii="Times New Roman" w:eastAsiaTheme="majorEastAsia" w:hAnsi="Times New Roman" w:cs="Times New Roman"/>
          <w:color w:val="000000" w:themeColor="text1"/>
          <w:kern w:val="24"/>
          <w:sz w:val="24"/>
          <w:szCs w:val="24"/>
          <w:lang w:val="en-GB"/>
        </w:rPr>
        <w:t xml:space="preserve"> and where</w:t>
      </w:r>
      <w:r w:rsidR="00865DA7" w:rsidRPr="0043224D">
        <w:rPr>
          <w:rFonts w:ascii="Times New Roman" w:eastAsiaTheme="majorEastAsia" w:hAnsi="Times New Roman" w:cs="Times New Roman"/>
          <w:color w:val="000000" w:themeColor="text1"/>
          <w:kern w:val="24"/>
          <w:sz w:val="24"/>
          <w:szCs w:val="24"/>
          <w:lang w:val="en-GB"/>
        </w:rPr>
        <w:t xml:space="preserve"> that balance</w:t>
      </w:r>
      <w:r w:rsidR="001E64FD" w:rsidRPr="0043224D">
        <w:rPr>
          <w:rFonts w:ascii="Times New Roman" w:eastAsiaTheme="majorEastAsia" w:hAnsi="Times New Roman" w:cs="Times New Roman"/>
          <w:color w:val="000000" w:themeColor="text1"/>
          <w:kern w:val="24"/>
          <w:sz w:val="24"/>
          <w:szCs w:val="24"/>
          <w:lang w:val="en-GB"/>
        </w:rPr>
        <w:t xml:space="preserve"> is</w:t>
      </w:r>
      <w:r w:rsidR="00865DA7" w:rsidRPr="0043224D">
        <w:rPr>
          <w:rFonts w:ascii="Times New Roman" w:eastAsiaTheme="majorEastAsia" w:hAnsi="Times New Roman" w:cs="Times New Roman"/>
          <w:color w:val="000000" w:themeColor="text1"/>
          <w:kern w:val="24"/>
          <w:sz w:val="24"/>
          <w:szCs w:val="24"/>
          <w:lang w:val="en-GB"/>
        </w:rPr>
        <w:t xml:space="preserve"> to be legally struck, between the </w:t>
      </w:r>
      <w:r w:rsidR="005A2B97" w:rsidRPr="0043224D">
        <w:rPr>
          <w:rFonts w:ascii="Times New Roman" w:eastAsiaTheme="majorEastAsia" w:hAnsi="Times New Roman" w:cs="Times New Roman"/>
          <w:color w:val="000000" w:themeColor="text1"/>
          <w:kern w:val="24"/>
          <w:sz w:val="24"/>
          <w:szCs w:val="24"/>
          <w:lang w:val="en-GB"/>
        </w:rPr>
        <w:t xml:space="preserve">legitimate </w:t>
      </w:r>
      <w:r w:rsidR="00865DA7" w:rsidRPr="0043224D">
        <w:rPr>
          <w:rFonts w:ascii="Times New Roman" w:eastAsiaTheme="majorEastAsia" w:hAnsi="Times New Roman" w:cs="Times New Roman"/>
          <w:color w:val="000000" w:themeColor="text1"/>
          <w:kern w:val="24"/>
          <w:sz w:val="24"/>
          <w:szCs w:val="24"/>
          <w:lang w:val="en-GB"/>
        </w:rPr>
        <w:t>right of states to develop</w:t>
      </w:r>
      <w:r w:rsidRPr="0043224D">
        <w:rPr>
          <w:rFonts w:ascii="Times New Roman" w:eastAsiaTheme="majorEastAsia" w:hAnsi="Times New Roman" w:cs="Times New Roman"/>
          <w:color w:val="000000" w:themeColor="text1"/>
          <w:kern w:val="24"/>
          <w:sz w:val="24"/>
          <w:szCs w:val="24"/>
          <w:lang w:val="en-GB"/>
        </w:rPr>
        <w:t xml:space="preserve"> economically</w:t>
      </w:r>
      <w:r w:rsidR="005A2B97" w:rsidRPr="0043224D">
        <w:rPr>
          <w:rFonts w:ascii="Times New Roman" w:eastAsiaTheme="majorEastAsia" w:hAnsi="Times New Roman" w:cs="Times New Roman"/>
          <w:color w:val="000000" w:themeColor="text1"/>
          <w:kern w:val="24"/>
          <w:sz w:val="24"/>
          <w:szCs w:val="24"/>
          <w:lang w:val="en-GB"/>
        </w:rPr>
        <w:t>,</w:t>
      </w:r>
      <w:r w:rsidR="00865DA7" w:rsidRPr="0043224D">
        <w:rPr>
          <w:rFonts w:ascii="Times New Roman" w:eastAsiaTheme="majorEastAsia" w:hAnsi="Times New Roman" w:cs="Times New Roman"/>
          <w:color w:val="000000" w:themeColor="text1"/>
          <w:kern w:val="24"/>
          <w:sz w:val="24"/>
          <w:szCs w:val="24"/>
          <w:lang w:val="en-GB"/>
        </w:rPr>
        <w:t xml:space="preserve"> versus the human rights of </w:t>
      </w:r>
      <w:r w:rsidR="00B37EF0" w:rsidRPr="0043224D">
        <w:rPr>
          <w:rFonts w:ascii="Times New Roman" w:eastAsiaTheme="majorEastAsia" w:hAnsi="Times New Roman" w:cs="Times New Roman"/>
          <w:color w:val="000000" w:themeColor="text1"/>
          <w:kern w:val="24"/>
          <w:sz w:val="24"/>
          <w:szCs w:val="24"/>
          <w:lang w:val="en-GB"/>
        </w:rPr>
        <w:t>indigenous peoples</w:t>
      </w:r>
      <w:r w:rsidR="00865DA7" w:rsidRPr="0043224D">
        <w:rPr>
          <w:rFonts w:ascii="Times New Roman" w:eastAsiaTheme="majorEastAsia" w:hAnsi="Times New Roman" w:cs="Times New Roman"/>
          <w:color w:val="000000" w:themeColor="text1"/>
          <w:kern w:val="24"/>
          <w:sz w:val="24"/>
          <w:szCs w:val="24"/>
          <w:lang w:val="en-GB"/>
        </w:rPr>
        <w:t xml:space="preserve"> not to be arbitrarily displaced</w:t>
      </w:r>
      <w:r w:rsidR="008229FF" w:rsidRPr="0043224D">
        <w:rPr>
          <w:rFonts w:ascii="Times New Roman" w:eastAsiaTheme="majorEastAsia" w:hAnsi="Times New Roman" w:cs="Times New Roman"/>
          <w:color w:val="000000" w:themeColor="text1"/>
          <w:kern w:val="24"/>
          <w:sz w:val="24"/>
          <w:szCs w:val="24"/>
          <w:lang w:val="en-GB"/>
        </w:rPr>
        <w:t>,</w:t>
      </w:r>
      <w:r w:rsidR="003D2864" w:rsidRPr="0043224D">
        <w:rPr>
          <w:rFonts w:ascii="Times New Roman" w:eastAsiaTheme="majorEastAsia" w:hAnsi="Times New Roman" w:cs="Times New Roman"/>
          <w:color w:val="000000" w:themeColor="text1"/>
          <w:kern w:val="24"/>
          <w:sz w:val="24"/>
          <w:szCs w:val="24"/>
          <w:lang w:val="en-GB"/>
        </w:rPr>
        <w:t xml:space="preserve"> or</w:t>
      </w:r>
      <w:r w:rsidR="00865DA7" w:rsidRPr="0043224D">
        <w:rPr>
          <w:rFonts w:ascii="Times New Roman" w:eastAsiaTheme="majorEastAsia" w:hAnsi="Times New Roman" w:cs="Times New Roman"/>
          <w:color w:val="000000" w:themeColor="text1"/>
          <w:kern w:val="24"/>
          <w:sz w:val="24"/>
          <w:szCs w:val="24"/>
          <w:lang w:val="en-GB"/>
        </w:rPr>
        <w:t xml:space="preserve"> dispossessed</w:t>
      </w:r>
      <w:r w:rsidR="00ED56D6" w:rsidRPr="0043224D">
        <w:rPr>
          <w:rFonts w:ascii="Times New Roman" w:eastAsiaTheme="majorEastAsia" w:hAnsi="Times New Roman" w:cs="Times New Roman"/>
          <w:color w:val="000000" w:themeColor="text1"/>
          <w:kern w:val="24"/>
          <w:sz w:val="24"/>
          <w:szCs w:val="24"/>
          <w:lang w:val="en-GB"/>
        </w:rPr>
        <w:t xml:space="preserve"> </w:t>
      </w:r>
      <w:r w:rsidR="00745D3B" w:rsidRPr="0043224D">
        <w:rPr>
          <w:rFonts w:ascii="Times New Roman" w:eastAsiaTheme="majorEastAsia" w:hAnsi="Times New Roman" w:cs="Times New Roman"/>
          <w:color w:val="000000" w:themeColor="text1"/>
          <w:kern w:val="24"/>
          <w:sz w:val="24"/>
          <w:szCs w:val="24"/>
          <w:lang w:val="en-GB"/>
        </w:rPr>
        <w:t>of</w:t>
      </w:r>
      <w:r w:rsidR="00ED56D6" w:rsidRPr="0043224D">
        <w:rPr>
          <w:rFonts w:ascii="Times New Roman" w:eastAsiaTheme="majorEastAsia" w:hAnsi="Times New Roman" w:cs="Times New Roman"/>
          <w:color w:val="000000" w:themeColor="text1"/>
          <w:kern w:val="24"/>
          <w:sz w:val="24"/>
          <w:szCs w:val="24"/>
          <w:lang w:val="en-GB"/>
        </w:rPr>
        <w:t xml:space="preserve"> their lands</w:t>
      </w:r>
      <w:r w:rsidR="00865DA7" w:rsidRPr="0043224D">
        <w:rPr>
          <w:rFonts w:ascii="Times New Roman" w:eastAsiaTheme="majorEastAsia" w:hAnsi="Times New Roman" w:cs="Times New Roman"/>
          <w:color w:val="000000" w:themeColor="text1"/>
          <w:kern w:val="24"/>
          <w:sz w:val="24"/>
          <w:szCs w:val="24"/>
          <w:lang w:val="en-GB"/>
        </w:rPr>
        <w:t>.</w:t>
      </w:r>
      <w:r w:rsidR="008229FF" w:rsidRPr="0043224D">
        <w:rPr>
          <w:rStyle w:val="FootnoteReference"/>
          <w:rFonts w:ascii="Times New Roman" w:eastAsiaTheme="majorEastAsia" w:hAnsi="Times New Roman" w:cs="Times New Roman"/>
          <w:color w:val="000000" w:themeColor="text1"/>
          <w:kern w:val="24"/>
          <w:sz w:val="24"/>
          <w:szCs w:val="24"/>
          <w:lang w:val="en-GB"/>
        </w:rPr>
        <w:footnoteReference w:id="19"/>
      </w:r>
    </w:p>
    <w:p w:rsidR="00F96F2F" w:rsidRPr="00086561" w:rsidRDefault="00ED6F51" w:rsidP="0043224D">
      <w:pPr>
        <w:pStyle w:val="Heading2"/>
        <w:spacing w:line="360" w:lineRule="auto"/>
        <w:rPr>
          <w:kern w:val="24"/>
          <w:lang w:val="en-GB"/>
        </w:rPr>
      </w:pPr>
      <w:bookmarkStart w:id="9" w:name="_Toc399848342"/>
      <w:r w:rsidRPr="00086561">
        <w:rPr>
          <w:kern w:val="24"/>
          <w:lang w:val="en-GB"/>
        </w:rPr>
        <w:t xml:space="preserve">1.5 </w:t>
      </w:r>
      <w:r w:rsidR="003D2864" w:rsidRPr="00086561">
        <w:rPr>
          <w:kern w:val="24"/>
          <w:lang w:val="en-GB"/>
        </w:rPr>
        <w:t>Methodology</w:t>
      </w:r>
      <w:bookmarkEnd w:id="9"/>
    </w:p>
    <w:p w:rsidR="00A03892" w:rsidRPr="0043224D" w:rsidRDefault="005A2B97" w:rsidP="00060EEC">
      <w:pPr>
        <w:spacing w:line="360" w:lineRule="auto"/>
        <w:ind w:firstLine="720"/>
        <w:rPr>
          <w:rFonts w:ascii="Times New Roman" w:eastAsiaTheme="majorEastAsia" w:hAnsi="Times New Roman" w:cs="Times New Roman"/>
          <w:color w:val="000000" w:themeColor="text1"/>
          <w:kern w:val="24"/>
          <w:sz w:val="24"/>
          <w:szCs w:val="24"/>
          <w:lang w:val="en-GB"/>
        </w:rPr>
      </w:pPr>
      <w:r w:rsidRPr="0043224D">
        <w:rPr>
          <w:rFonts w:ascii="Times New Roman" w:eastAsiaTheme="majorEastAsia" w:hAnsi="Times New Roman" w:cs="Times New Roman"/>
          <w:color w:val="000000" w:themeColor="text1"/>
          <w:kern w:val="24"/>
          <w:sz w:val="24"/>
          <w:szCs w:val="24"/>
          <w:lang w:val="en-GB"/>
        </w:rPr>
        <w:t>The</w:t>
      </w:r>
      <w:r w:rsidR="00A03892" w:rsidRPr="0043224D">
        <w:rPr>
          <w:rFonts w:ascii="Times New Roman" w:eastAsiaTheme="majorEastAsia" w:hAnsi="Times New Roman" w:cs="Times New Roman"/>
          <w:color w:val="000000" w:themeColor="text1"/>
          <w:kern w:val="24"/>
          <w:sz w:val="24"/>
          <w:szCs w:val="24"/>
          <w:lang w:val="en-GB"/>
        </w:rPr>
        <w:t xml:space="preserve"> thesis</w:t>
      </w:r>
      <w:r w:rsidR="00FD034E" w:rsidRPr="0043224D">
        <w:rPr>
          <w:rFonts w:ascii="Times New Roman" w:eastAsiaTheme="majorEastAsia" w:hAnsi="Times New Roman" w:cs="Times New Roman"/>
          <w:color w:val="000000" w:themeColor="text1"/>
          <w:kern w:val="24"/>
          <w:sz w:val="24"/>
          <w:szCs w:val="24"/>
          <w:lang w:val="en-GB"/>
        </w:rPr>
        <w:t xml:space="preserve"> </w:t>
      </w:r>
      <w:r w:rsidR="00E75289" w:rsidRPr="0043224D">
        <w:rPr>
          <w:rFonts w:ascii="Times New Roman" w:eastAsiaTheme="majorEastAsia" w:hAnsi="Times New Roman" w:cs="Times New Roman"/>
          <w:color w:val="000000" w:themeColor="text1"/>
          <w:kern w:val="24"/>
          <w:sz w:val="24"/>
          <w:szCs w:val="24"/>
          <w:lang w:val="en-GB"/>
        </w:rPr>
        <w:t xml:space="preserve">employs </w:t>
      </w:r>
      <w:r w:rsidR="00C92A56" w:rsidRPr="0043224D">
        <w:rPr>
          <w:rFonts w:ascii="Times New Roman" w:eastAsiaTheme="majorEastAsia" w:hAnsi="Times New Roman" w:cs="Times New Roman"/>
          <w:color w:val="000000" w:themeColor="text1"/>
          <w:kern w:val="24"/>
          <w:sz w:val="24"/>
          <w:szCs w:val="24"/>
          <w:lang w:val="en-GB"/>
        </w:rPr>
        <w:t>a</w:t>
      </w:r>
      <w:r w:rsidR="00E75289" w:rsidRPr="0043224D">
        <w:rPr>
          <w:rFonts w:ascii="Times New Roman" w:eastAsiaTheme="majorEastAsia" w:hAnsi="Times New Roman" w:cs="Times New Roman"/>
          <w:color w:val="000000" w:themeColor="text1"/>
          <w:kern w:val="24"/>
          <w:sz w:val="24"/>
          <w:szCs w:val="24"/>
          <w:lang w:val="en-GB"/>
        </w:rPr>
        <w:t xml:space="preserve"> socio-legal </w:t>
      </w:r>
      <w:r w:rsidR="003E3089" w:rsidRPr="0043224D">
        <w:rPr>
          <w:rFonts w:ascii="Times New Roman" w:eastAsiaTheme="majorEastAsia" w:hAnsi="Times New Roman" w:cs="Times New Roman"/>
          <w:color w:val="000000" w:themeColor="text1"/>
          <w:kern w:val="24"/>
          <w:sz w:val="24"/>
          <w:szCs w:val="24"/>
          <w:lang w:val="en-GB"/>
        </w:rPr>
        <w:t>perspective</w:t>
      </w:r>
      <w:r w:rsidR="00FD034E" w:rsidRPr="0043224D">
        <w:rPr>
          <w:rFonts w:ascii="Times New Roman" w:eastAsiaTheme="majorEastAsia" w:hAnsi="Times New Roman" w:cs="Times New Roman"/>
          <w:color w:val="000000" w:themeColor="text1"/>
          <w:kern w:val="24"/>
          <w:sz w:val="24"/>
          <w:szCs w:val="24"/>
          <w:lang w:val="en-GB"/>
        </w:rPr>
        <w:t xml:space="preserve"> to </w:t>
      </w:r>
      <w:r w:rsidR="00F96F2F" w:rsidRPr="0043224D">
        <w:rPr>
          <w:rFonts w:ascii="Times New Roman" w:eastAsiaTheme="majorEastAsia" w:hAnsi="Times New Roman" w:cs="Times New Roman"/>
          <w:color w:val="000000" w:themeColor="text1"/>
          <w:kern w:val="24"/>
          <w:sz w:val="24"/>
          <w:szCs w:val="24"/>
          <w:lang w:val="en-GB"/>
        </w:rPr>
        <w:t xml:space="preserve">a doctrinal analysis of the law. </w:t>
      </w:r>
      <w:r w:rsidR="008229FF" w:rsidRPr="0043224D">
        <w:rPr>
          <w:rFonts w:ascii="Times New Roman" w:eastAsiaTheme="majorEastAsia" w:hAnsi="Times New Roman" w:cs="Times New Roman"/>
          <w:color w:val="000000" w:themeColor="text1"/>
          <w:kern w:val="24"/>
          <w:sz w:val="24"/>
          <w:szCs w:val="24"/>
          <w:lang w:val="en-GB"/>
        </w:rPr>
        <w:t>I</w:t>
      </w:r>
      <w:r w:rsidR="00E75289" w:rsidRPr="0043224D">
        <w:rPr>
          <w:rFonts w:ascii="Times New Roman" w:eastAsiaTheme="majorEastAsia" w:hAnsi="Times New Roman" w:cs="Times New Roman"/>
          <w:color w:val="000000" w:themeColor="text1"/>
          <w:kern w:val="24"/>
          <w:sz w:val="24"/>
          <w:szCs w:val="24"/>
          <w:lang w:val="en-GB"/>
        </w:rPr>
        <w:t xml:space="preserve">dentifying and describing the key international legal human </w:t>
      </w:r>
      <w:r w:rsidR="00B37EF0" w:rsidRPr="0043224D">
        <w:rPr>
          <w:rFonts w:ascii="Times New Roman" w:eastAsiaTheme="majorEastAsia" w:hAnsi="Times New Roman" w:cs="Times New Roman"/>
          <w:color w:val="000000" w:themeColor="text1"/>
          <w:kern w:val="24"/>
          <w:sz w:val="24"/>
          <w:szCs w:val="24"/>
          <w:lang w:val="en-GB"/>
        </w:rPr>
        <w:t>rights standards protecting indigenous peoples</w:t>
      </w:r>
      <w:r w:rsidR="00E75289" w:rsidRPr="0043224D">
        <w:rPr>
          <w:rFonts w:ascii="Times New Roman" w:eastAsiaTheme="majorEastAsia" w:hAnsi="Times New Roman" w:cs="Times New Roman"/>
          <w:color w:val="000000" w:themeColor="text1"/>
          <w:kern w:val="24"/>
          <w:sz w:val="24"/>
          <w:szCs w:val="24"/>
          <w:lang w:val="en-GB"/>
        </w:rPr>
        <w:t xml:space="preserve">, </w:t>
      </w:r>
      <w:r w:rsidR="003E3089" w:rsidRPr="0043224D">
        <w:rPr>
          <w:rFonts w:ascii="Times New Roman" w:eastAsiaTheme="majorEastAsia" w:hAnsi="Times New Roman" w:cs="Times New Roman"/>
          <w:color w:val="000000" w:themeColor="text1"/>
          <w:kern w:val="24"/>
          <w:sz w:val="24"/>
          <w:szCs w:val="24"/>
          <w:lang w:val="en-GB"/>
        </w:rPr>
        <w:t xml:space="preserve">and in the process </w:t>
      </w:r>
      <w:r w:rsidR="00E75289" w:rsidRPr="0043224D">
        <w:rPr>
          <w:rFonts w:ascii="Times New Roman" w:eastAsiaTheme="majorEastAsia" w:hAnsi="Times New Roman" w:cs="Times New Roman"/>
          <w:color w:val="000000" w:themeColor="text1"/>
          <w:kern w:val="24"/>
          <w:sz w:val="24"/>
          <w:szCs w:val="24"/>
          <w:lang w:val="en-GB"/>
        </w:rPr>
        <w:t>drawing evidence</w:t>
      </w:r>
      <w:r w:rsidR="003E3089" w:rsidRPr="0043224D">
        <w:rPr>
          <w:rFonts w:ascii="Times New Roman" w:eastAsiaTheme="majorEastAsia" w:hAnsi="Times New Roman" w:cs="Times New Roman"/>
          <w:color w:val="000000" w:themeColor="text1"/>
          <w:kern w:val="24"/>
          <w:sz w:val="24"/>
          <w:szCs w:val="24"/>
          <w:lang w:val="en-GB"/>
        </w:rPr>
        <w:t xml:space="preserve"> not only from relevant international instruments, case law and specific legal jurisprudence but also from, for example, development theory and practice and where applicable from other academic disciplines. </w:t>
      </w:r>
      <w:r w:rsidR="009F0635" w:rsidRPr="0043224D">
        <w:rPr>
          <w:rFonts w:ascii="Times New Roman" w:eastAsiaTheme="majorEastAsia" w:hAnsi="Times New Roman" w:cs="Times New Roman"/>
          <w:color w:val="000000" w:themeColor="text1"/>
          <w:kern w:val="24"/>
          <w:sz w:val="24"/>
          <w:szCs w:val="24"/>
          <w:lang w:val="en-GB"/>
        </w:rPr>
        <w:t>In this regard,</w:t>
      </w:r>
      <w:r w:rsidR="00795BB3" w:rsidRPr="0043224D">
        <w:rPr>
          <w:rFonts w:ascii="Times New Roman" w:eastAsiaTheme="majorEastAsia" w:hAnsi="Times New Roman" w:cs="Times New Roman"/>
          <w:color w:val="000000" w:themeColor="text1"/>
          <w:kern w:val="24"/>
          <w:sz w:val="24"/>
          <w:szCs w:val="24"/>
          <w:lang w:val="en-GB"/>
        </w:rPr>
        <w:t xml:space="preserve"> the thesis takes as its methodological </w:t>
      </w:r>
      <w:r w:rsidR="00DC7A14" w:rsidRPr="0043224D">
        <w:rPr>
          <w:rFonts w:ascii="Times New Roman" w:eastAsiaTheme="majorEastAsia" w:hAnsi="Times New Roman" w:cs="Times New Roman"/>
          <w:color w:val="000000" w:themeColor="text1"/>
          <w:kern w:val="24"/>
          <w:sz w:val="24"/>
          <w:szCs w:val="24"/>
          <w:lang w:val="en-GB"/>
        </w:rPr>
        <w:t>framework</w:t>
      </w:r>
      <w:r w:rsidR="00795BB3" w:rsidRPr="0043224D">
        <w:rPr>
          <w:rFonts w:ascii="Times New Roman" w:eastAsiaTheme="majorEastAsia" w:hAnsi="Times New Roman" w:cs="Times New Roman"/>
          <w:color w:val="000000" w:themeColor="text1"/>
          <w:kern w:val="24"/>
          <w:sz w:val="24"/>
          <w:szCs w:val="24"/>
          <w:lang w:val="en-GB"/>
        </w:rPr>
        <w:t xml:space="preserve"> </w:t>
      </w:r>
      <w:r w:rsidR="00DC7A14" w:rsidRPr="0043224D">
        <w:rPr>
          <w:rFonts w:ascii="Times New Roman" w:eastAsiaTheme="majorEastAsia" w:hAnsi="Times New Roman" w:cs="Times New Roman"/>
          <w:color w:val="000000" w:themeColor="text1"/>
          <w:kern w:val="24"/>
          <w:sz w:val="24"/>
          <w:szCs w:val="24"/>
          <w:lang w:val="en-GB"/>
        </w:rPr>
        <w:t>an “external”</w:t>
      </w:r>
      <w:r w:rsidR="009F0635" w:rsidRPr="0043224D">
        <w:rPr>
          <w:rFonts w:ascii="Times New Roman" w:eastAsiaTheme="majorEastAsia" w:hAnsi="Times New Roman" w:cs="Times New Roman"/>
          <w:color w:val="000000" w:themeColor="text1"/>
          <w:kern w:val="24"/>
          <w:sz w:val="24"/>
          <w:szCs w:val="24"/>
          <w:lang w:val="en-GB"/>
        </w:rPr>
        <w:t xml:space="preserve"> socio-legal</w:t>
      </w:r>
      <w:r w:rsidR="00DC7A14" w:rsidRPr="0043224D">
        <w:rPr>
          <w:rFonts w:ascii="Times New Roman" w:eastAsiaTheme="majorEastAsia" w:hAnsi="Times New Roman" w:cs="Times New Roman"/>
          <w:color w:val="000000" w:themeColor="text1"/>
          <w:kern w:val="24"/>
          <w:sz w:val="24"/>
          <w:szCs w:val="24"/>
          <w:lang w:val="en-GB"/>
        </w:rPr>
        <w:t xml:space="preserve"> </w:t>
      </w:r>
      <w:r w:rsidR="009F0635" w:rsidRPr="0043224D">
        <w:rPr>
          <w:rFonts w:ascii="Times New Roman" w:eastAsiaTheme="majorEastAsia" w:hAnsi="Times New Roman" w:cs="Times New Roman"/>
          <w:color w:val="000000" w:themeColor="text1"/>
          <w:kern w:val="24"/>
          <w:sz w:val="24"/>
          <w:szCs w:val="24"/>
          <w:lang w:val="en-GB"/>
        </w:rPr>
        <w:t>perspective</w:t>
      </w:r>
      <w:r w:rsidR="00DC7A14" w:rsidRPr="0043224D">
        <w:rPr>
          <w:rFonts w:ascii="Times New Roman" w:eastAsiaTheme="majorEastAsia" w:hAnsi="Times New Roman" w:cs="Times New Roman"/>
          <w:color w:val="000000" w:themeColor="text1"/>
          <w:kern w:val="24"/>
          <w:sz w:val="24"/>
          <w:szCs w:val="24"/>
          <w:lang w:val="en-GB"/>
        </w:rPr>
        <w:t xml:space="preserve"> to studying international human</w:t>
      </w:r>
      <w:r w:rsidR="009F0635" w:rsidRPr="0043224D">
        <w:rPr>
          <w:rFonts w:ascii="Times New Roman" w:eastAsiaTheme="majorEastAsia" w:hAnsi="Times New Roman" w:cs="Times New Roman"/>
          <w:color w:val="000000" w:themeColor="text1"/>
          <w:kern w:val="24"/>
          <w:sz w:val="24"/>
          <w:szCs w:val="24"/>
          <w:lang w:val="en-GB"/>
        </w:rPr>
        <w:t xml:space="preserve"> rights law in relations to development-induced </w:t>
      </w:r>
      <w:r w:rsidR="00DC7A14" w:rsidRPr="0043224D">
        <w:rPr>
          <w:rFonts w:ascii="Times New Roman" w:eastAsiaTheme="majorEastAsia" w:hAnsi="Times New Roman" w:cs="Times New Roman"/>
          <w:color w:val="000000" w:themeColor="text1"/>
          <w:kern w:val="24"/>
          <w:sz w:val="24"/>
          <w:szCs w:val="24"/>
          <w:lang w:val="en-GB"/>
        </w:rPr>
        <w:t xml:space="preserve">displacement of indigenous peoples. </w:t>
      </w:r>
      <w:r w:rsidR="009F0635" w:rsidRPr="0043224D">
        <w:rPr>
          <w:rFonts w:ascii="Times New Roman" w:eastAsiaTheme="majorEastAsia" w:hAnsi="Times New Roman" w:cs="Times New Roman"/>
          <w:color w:val="000000" w:themeColor="text1"/>
          <w:kern w:val="24"/>
          <w:sz w:val="24"/>
          <w:szCs w:val="24"/>
          <w:lang w:val="en-GB"/>
        </w:rPr>
        <w:t>The “external” perspective, as described by Christopher McCrudden,</w:t>
      </w:r>
      <w:r w:rsidR="00A03892" w:rsidRPr="0043224D">
        <w:rPr>
          <w:rFonts w:ascii="Times New Roman" w:eastAsiaTheme="majorEastAsia" w:hAnsi="Times New Roman" w:cs="Times New Roman"/>
          <w:color w:val="000000" w:themeColor="text1"/>
          <w:kern w:val="24"/>
          <w:sz w:val="24"/>
          <w:szCs w:val="24"/>
          <w:lang w:val="en-GB"/>
        </w:rPr>
        <w:t xml:space="preserve"> is, amongst other things, the employment of an “outsiders” view of the law and the law in practice</w:t>
      </w:r>
      <w:r w:rsidR="009E6F36" w:rsidRPr="0043224D">
        <w:rPr>
          <w:rFonts w:ascii="Times New Roman" w:eastAsiaTheme="majorEastAsia" w:hAnsi="Times New Roman" w:cs="Times New Roman"/>
          <w:color w:val="000000" w:themeColor="text1"/>
          <w:kern w:val="24"/>
          <w:sz w:val="24"/>
          <w:szCs w:val="24"/>
          <w:lang w:val="en-GB"/>
        </w:rPr>
        <w:t xml:space="preserve"> from a social science perspective</w:t>
      </w:r>
      <w:r w:rsidR="00953C05" w:rsidRPr="0043224D">
        <w:rPr>
          <w:rFonts w:ascii="Times New Roman" w:eastAsiaTheme="majorEastAsia" w:hAnsi="Times New Roman" w:cs="Times New Roman"/>
          <w:color w:val="000000" w:themeColor="text1"/>
          <w:kern w:val="24"/>
          <w:sz w:val="24"/>
          <w:szCs w:val="24"/>
          <w:lang w:val="en-GB"/>
        </w:rPr>
        <w:t>.</w:t>
      </w:r>
      <w:r w:rsidR="00A03892" w:rsidRPr="0043224D">
        <w:rPr>
          <w:rStyle w:val="FootnoteReference"/>
          <w:rFonts w:ascii="Times New Roman" w:eastAsiaTheme="majorEastAsia" w:hAnsi="Times New Roman" w:cs="Times New Roman"/>
          <w:color w:val="000000" w:themeColor="text1"/>
          <w:kern w:val="24"/>
          <w:sz w:val="24"/>
          <w:szCs w:val="24"/>
          <w:lang w:val="en-GB"/>
        </w:rPr>
        <w:footnoteReference w:id="20"/>
      </w:r>
      <w:r w:rsidR="00A03892" w:rsidRPr="0043224D">
        <w:rPr>
          <w:rFonts w:ascii="Times New Roman" w:eastAsiaTheme="majorEastAsia" w:hAnsi="Times New Roman" w:cs="Times New Roman"/>
          <w:color w:val="000000" w:themeColor="text1"/>
          <w:kern w:val="24"/>
          <w:sz w:val="24"/>
          <w:szCs w:val="24"/>
          <w:lang w:val="en-GB"/>
        </w:rPr>
        <w:t xml:space="preserve"> </w:t>
      </w:r>
    </w:p>
    <w:p w:rsidR="00DC7A14" w:rsidRPr="0043224D" w:rsidRDefault="00A03892" w:rsidP="00060EEC">
      <w:pPr>
        <w:autoSpaceDE w:val="0"/>
        <w:autoSpaceDN w:val="0"/>
        <w:adjustRightInd w:val="0"/>
        <w:spacing w:after="0" w:line="360" w:lineRule="auto"/>
        <w:ind w:firstLine="720"/>
        <w:rPr>
          <w:rFonts w:ascii="Times New Roman" w:hAnsi="Times New Roman" w:cs="Times New Roman"/>
          <w:iCs/>
          <w:sz w:val="24"/>
          <w:szCs w:val="24"/>
        </w:rPr>
      </w:pPr>
      <w:r w:rsidRPr="0043224D">
        <w:rPr>
          <w:rFonts w:ascii="Times New Roman" w:eastAsiaTheme="majorEastAsia" w:hAnsi="Times New Roman" w:cs="Times New Roman"/>
          <w:color w:val="000000" w:themeColor="text1"/>
          <w:kern w:val="24"/>
          <w:sz w:val="24"/>
          <w:szCs w:val="24"/>
          <w:lang w:val="en-GB"/>
        </w:rPr>
        <w:t xml:space="preserve">McCrudden </w:t>
      </w:r>
      <w:r w:rsidR="005A2B97" w:rsidRPr="0043224D">
        <w:rPr>
          <w:rFonts w:ascii="Times New Roman" w:eastAsiaTheme="majorEastAsia" w:hAnsi="Times New Roman" w:cs="Times New Roman"/>
          <w:color w:val="000000" w:themeColor="text1"/>
          <w:kern w:val="24"/>
          <w:sz w:val="24"/>
          <w:szCs w:val="24"/>
          <w:lang w:val="en-GB"/>
        </w:rPr>
        <w:t>outlines</w:t>
      </w:r>
      <w:r w:rsidRPr="0043224D">
        <w:rPr>
          <w:rFonts w:ascii="Times New Roman" w:eastAsiaTheme="majorEastAsia" w:hAnsi="Times New Roman" w:cs="Times New Roman"/>
          <w:color w:val="000000" w:themeColor="text1"/>
          <w:kern w:val="24"/>
          <w:sz w:val="24"/>
          <w:szCs w:val="24"/>
          <w:lang w:val="en-GB"/>
        </w:rPr>
        <w:t xml:space="preserve"> four research </w:t>
      </w:r>
      <w:r w:rsidR="009E6F36" w:rsidRPr="0043224D">
        <w:rPr>
          <w:rFonts w:ascii="Times New Roman" w:eastAsiaTheme="majorEastAsia" w:hAnsi="Times New Roman" w:cs="Times New Roman"/>
          <w:color w:val="000000" w:themeColor="text1"/>
          <w:kern w:val="24"/>
          <w:sz w:val="24"/>
          <w:szCs w:val="24"/>
          <w:lang w:val="en-GB"/>
        </w:rPr>
        <w:t>agendas</w:t>
      </w:r>
      <w:r w:rsidR="005A2B97" w:rsidRPr="0043224D">
        <w:rPr>
          <w:rFonts w:ascii="Times New Roman" w:eastAsiaTheme="majorEastAsia" w:hAnsi="Times New Roman" w:cs="Times New Roman"/>
          <w:color w:val="000000" w:themeColor="text1"/>
          <w:kern w:val="24"/>
          <w:sz w:val="24"/>
          <w:szCs w:val="24"/>
          <w:lang w:val="en-GB"/>
        </w:rPr>
        <w:t xml:space="preserve"> in academic legal scholarship</w:t>
      </w:r>
      <w:r w:rsidR="00506F22" w:rsidRPr="0043224D">
        <w:rPr>
          <w:rFonts w:ascii="Times New Roman" w:eastAsiaTheme="majorEastAsia" w:hAnsi="Times New Roman" w:cs="Times New Roman"/>
          <w:i/>
          <w:color w:val="000000" w:themeColor="text1"/>
          <w:kern w:val="24"/>
          <w:sz w:val="24"/>
          <w:szCs w:val="24"/>
          <w:lang w:val="en-GB"/>
        </w:rPr>
        <w:t xml:space="preserve">. </w:t>
      </w:r>
      <w:r w:rsidR="005A2B97" w:rsidRPr="0043224D">
        <w:rPr>
          <w:rFonts w:ascii="Times New Roman" w:hAnsi="Times New Roman" w:cs="Times New Roman"/>
          <w:iCs/>
          <w:sz w:val="24"/>
          <w:szCs w:val="24"/>
        </w:rPr>
        <w:t>Of relevance</w:t>
      </w:r>
      <w:r w:rsidR="00745D3B" w:rsidRPr="0043224D">
        <w:rPr>
          <w:rFonts w:ascii="Times New Roman" w:hAnsi="Times New Roman" w:cs="Times New Roman"/>
          <w:iCs/>
          <w:sz w:val="24"/>
          <w:szCs w:val="24"/>
        </w:rPr>
        <w:t xml:space="preserve"> here however</w:t>
      </w:r>
      <w:r w:rsidR="005A2B97" w:rsidRPr="0043224D">
        <w:rPr>
          <w:rFonts w:ascii="Times New Roman" w:hAnsi="Times New Roman" w:cs="Times New Roman"/>
          <w:iCs/>
          <w:sz w:val="24"/>
          <w:szCs w:val="24"/>
        </w:rPr>
        <w:t xml:space="preserve"> to the methodology employed is that of the</w:t>
      </w:r>
      <w:r w:rsidR="009E6F36" w:rsidRPr="0043224D">
        <w:rPr>
          <w:rFonts w:ascii="Times New Roman" w:hAnsi="Times New Roman" w:cs="Times New Roman"/>
          <w:iCs/>
          <w:sz w:val="24"/>
          <w:szCs w:val="24"/>
        </w:rPr>
        <w:t xml:space="preserve"> ethical and political acceptability of public policy delivered though legal instruments.</w:t>
      </w:r>
      <w:r w:rsidR="00C7660C" w:rsidRPr="0043224D">
        <w:rPr>
          <w:rStyle w:val="FootnoteReference"/>
          <w:rFonts w:ascii="Times New Roman" w:hAnsi="Times New Roman" w:cs="Times New Roman"/>
          <w:iCs/>
          <w:sz w:val="24"/>
          <w:szCs w:val="24"/>
        </w:rPr>
        <w:footnoteReference w:id="21"/>
      </w:r>
      <w:r w:rsidR="009E6F36" w:rsidRPr="0043224D">
        <w:rPr>
          <w:rFonts w:ascii="Times New Roman" w:hAnsi="Times New Roman" w:cs="Times New Roman"/>
          <w:iCs/>
          <w:sz w:val="24"/>
          <w:szCs w:val="24"/>
        </w:rPr>
        <w:t xml:space="preserve"> </w:t>
      </w:r>
      <w:r w:rsidR="00506F22" w:rsidRPr="0043224D">
        <w:rPr>
          <w:rFonts w:ascii="Times New Roman" w:hAnsi="Times New Roman" w:cs="Times New Roman"/>
          <w:iCs/>
          <w:sz w:val="24"/>
          <w:szCs w:val="24"/>
        </w:rPr>
        <w:t>For example, w</w:t>
      </w:r>
      <w:r w:rsidR="009E6F36" w:rsidRPr="0043224D">
        <w:rPr>
          <w:rFonts w:ascii="Times New Roman" w:hAnsi="Times New Roman" w:cs="Times New Roman"/>
          <w:iCs/>
          <w:sz w:val="24"/>
          <w:szCs w:val="24"/>
        </w:rPr>
        <w:t>hat should be the appropriate legal response</w:t>
      </w:r>
      <w:r w:rsidR="00C7660C" w:rsidRPr="0043224D">
        <w:rPr>
          <w:rFonts w:ascii="Times New Roman" w:hAnsi="Times New Roman" w:cs="Times New Roman"/>
          <w:iCs/>
          <w:sz w:val="24"/>
          <w:szCs w:val="24"/>
        </w:rPr>
        <w:t xml:space="preserve"> in regards to human rights violations before, during, and after the displacement process. </w:t>
      </w:r>
      <w:r w:rsidR="00745D3B" w:rsidRPr="0043224D">
        <w:rPr>
          <w:rFonts w:ascii="Times New Roman" w:hAnsi="Times New Roman" w:cs="Times New Roman"/>
          <w:iCs/>
          <w:sz w:val="24"/>
          <w:szCs w:val="24"/>
        </w:rPr>
        <w:t>The</w:t>
      </w:r>
      <w:r w:rsidR="00506F22" w:rsidRPr="0043224D">
        <w:rPr>
          <w:rFonts w:ascii="Times New Roman" w:hAnsi="Times New Roman" w:cs="Times New Roman"/>
          <w:iCs/>
          <w:sz w:val="24"/>
          <w:szCs w:val="24"/>
        </w:rPr>
        <w:t xml:space="preserve"> thesis will </w:t>
      </w:r>
      <w:r w:rsidR="00953C05" w:rsidRPr="0043224D">
        <w:rPr>
          <w:rFonts w:ascii="Times New Roman" w:hAnsi="Times New Roman" w:cs="Times New Roman"/>
          <w:iCs/>
          <w:sz w:val="24"/>
          <w:szCs w:val="24"/>
        </w:rPr>
        <w:t xml:space="preserve">broadly </w:t>
      </w:r>
      <w:r w:rsidR="00C7660C" w:rsidRPr="0043224D">
        <w:rPr>
          <w:rFonts w:ascii="Times New Roman" w:hAnsi="Times New Roman" w:cs="Times New Roman"/>
          <w:iCs/>
          <w:sz w:val="24"/>
          <w:szCs w:val="24"/>
        </w:rPr>
        <w:t>employ</w:t>
      </w:r>
      <w:r w:rsidR="00506F22" w:rsidRPr="0043224D">
        <w:rPr>
          <w:rFonts w:ascii="Times New Roman" w:hAnsi="Times New Roman" w:cs="Times New Roman"/>
          <w:iCs/>
          <w:sz w:val="24"/>
          <w:szCs w:val="24"/>
        </w:rPr>
        <w:t xml:space="preserve"> </w:t>
      </w:r>
      <w:r w:rsidR="00C7660C" w:rsidRPr="0043224D">
        <w:rPr>
          <w:rFonts w:ascii="Times New Roman" w:hAnsi="Times New Roman" w:cs="Times New Roman"/>
          <w:iCs/>
          <w:sz w:val="24"/>
          <w:szCs w:val="24"/>
        </w:rPr>
        <w:t>this</w:t>
      </w:r>
      <w:r w:rsidR="00506F22" w:rsidRPr="0043224D">
        <w:rPr>
          <w:rFonts w:ascii="Times New Roman" w:hAnsi="Times New Roman" w:cs="Times New Roman"/>
          <w:iCs/>
          <w:sz w:val="24"/>
          <w:szCs w:val="24"/>
        </w:rPr>
        <w:t xml:space="preserve"> perspective</w:t>
      </w:r>
      <w:r w:rsidR="00953C05" w:rsidRPr="0043224D">
        <w:rPr>
          <w:rFonts w:ascii="Times New Roman" w:hAnsi="Times New Roman" w:cs="Times New Roman"/>
          <w:iCs/>
          <w:sz w:val="24"/>
          <w:szCs w:val="24"/>
        </w:rPr>
        <w:t xml:space="preserve"> in particular </w:t>
      </w:r>
      <w:r w:rsidR="00C7660C" w:rsidRPr="0043224D">
        <w:rPr>
          <w:rFonts w:ascii="Times New Roman" w:hAnsi="Times New Roman" w:cs="Times New Roman"/>
          <w:iCs/>
          <w:sz w:val="24"/>
          <w:szCs w:val="24"/>
        </w:rPr>
        <w:t xml:space="preserve">assessing the impact of public policy (development policy and programmes) </w:t>
      </w:r>
      <w:r w:rsidR="00953C05" w:rsidRPr="0043224D">
        <w:rPr>
          <w:rFonts w:ascii="Times New Roman" w:hAnsi="Times New Roman" w:cs="Times New Roman"/>
          <w:iCs/>
          <w:sz w:val="24"/>
          <w:szCs w:val="24"/>
        </w:rPr>
        <w:t xml:space="preserve">on indigenous peoples, and how </w:t>
      </w:r>
      <w:r w:rsidR="00C7660C" w:rsidRPr="0043224D">
        <w:rPr>
          <w:rFonts w:ascii="Times New Roman" w:hAnsi="Times New Roman" w:cs="Times New Roman"/>
          <w:iCs/>
          <w:sz w:val="24"/>
          <w:szCs w:val="24"/>
        </w:rPr>
        <w:t>these policies and programmes</w:t>
      </w:r>
      <w:r w:rsidR="00953C05" w:rsidRPr="0043224D">
        <w:rPr>
          <w:rFonts w:ascii="Times New Roman" w:hAnsi="Times New Roman" w:cs="Times New Roman"/>
          <w:iCs/>
          <w:sz w:val="24"/>
          <w:szCs w:val="24"/>
        </w:rPr>
        <w:t xml:space="preserve"> can be challenged by indigenous peoples by means of </w:t>
      </w:r>
      <w:r w:rsidR="00C7660C" w:rsidRPr="0043224D">
        <w:rPr>
          <w:rFonts w:ascii="Times New Roman" w:hAnsi="Times New Roman" w:cs="Times New Roman"/>
          <w:iCs/>
          <w:sz w:val="24"/>
          <w:szCs w:val="24"/>
        </w:rPr>
        <w:t xml:space="preserve">international </w:t>
      </w:r>
      <w:r w:rsidR="00953C05" w:rsidRPr="0043224D">
        <w:rPr>
          <w:rFonts w:ascii="Times New Roman" w:hAnsi="Times New Roman" w:cs="Times New Roman"/>
          <w:iCs/>
          <w:sz w:val="24"/>
          <w:szCs w:val="24"/>
        </w:rPr>
        <w:t xml:space="preserve">legal action.    </w:t>
      </w:r>
    </w:p>
    <w:p w:rsidR="00DD3D96" w:rsidRPr="0043224D" w:rsidRDefault="00DD3D96" w:rsidP="00060EEC">
      <w:pPr>
        <w:spacing w:line="360" w:lineRule="auto"/>
        <w:rPr>
          <w:rFonts w:ascii="Times New Roman" w:hAnsi="Times New Roman" w:cs="Times New Roman"/>
          <w:color w:val="000000"/>
          <w:sz w:val="24"/>
          <w:szCs w:val="24"/>
          <w:shd w:val="clear" w:color="auto" w:fill="FFFFFF"/>
        </w:rPr>
      </w:pPr>
    </w:p>
    <w:p w:rsidR="00F96F2F" w:rsidRPr="0043224D" w:rsidRDefault="00953C05" w:rsidP="00060EEC">
      <w:pPr>
        <w:spacing w:line="360" w:lineRule="auto"/>
        <w:ind w:firstLine="720"/>
        <w:rPr>
          <w:rFonts w:ascii="Times New Roman" w:eastAsiaTheme="majorEastAsia" w:hAnsi="Times New Roman" w:cs="Times New Roman"/>
          <w:i/>
          <w:color w:val="000000" w:themeColor="text1"/>
          <w:kern w:val="24"/>
          <w:sz w:val="24"/>
          <w:szCs w:val="24"/>
          <w:lang w:val="en-GB"/>
        </w:rPr>
      </w:pPr>
      <w:r w:rsidRPr="0043224D">
        <w:rPr>
          <w:rFonts w:ascii="Times New Roman" w:hAnsi="Times New Roman" w:cs="Times New Roman"/>
          <w:color w:val="000000"/>
          <w:sz w:val="24"/>
          <w:szCs w:val="24"/>
          <w:shd w:val="clear" w:color="auto" w:fill="FFFFFF"/>
        </w:rPr>
        <w:t xml:space="preserve">In this connection, </w:t>
      </w:r>
      <w:r w:rsidR="00F96F2F" w:rsidRPr="0043224D">
        <w:rPr>
          <w:rFonts w:ascii="Times New Roman" w:hAnsi="Times New Roman" w:cs="Times New Roman"/>
          <w:color w:val="000000"/>
          <w:sz w:val="24"/>
          <w:szCs w:val="24"/>
          <w:shd w:val="clear" w:color="auto" w:fill="FFFFFF"/>
        </w:rPr>
        <w:t>the thesis provides an analysis of the relevant provisions of international human rights law instruments relevant to development-induced displacement</w:t>
      </w:r>
      <w:r w:rsidR="00327F48" w:rsidRPr="0043224D">
        <w:rPr>
          <w:rFonts w:ascii="Times New Roman" w:hAnsi="Times New Roman" w:cs="Times New Roman"/>
          <w:color w:val="000000"/>
          <w:sz w:val="24"/>
          <w:szCs w:val="24"/>
          <w:shd w:val="clear" w:color="auto" w:fill="FFFFFF"/>
        </w:rPr>
        <w:t>,</w:t>
      </w:r>
      <w:r w:rsidR="00745D3B" w:rsidRPr="0043224D">
        <w:rPr>
          <w:rFonts w:ascii="Times New Roman" w:hAnsi="Times New Roman" w:cs="Times New Roman"/>
          <w:color w:val="000000"/>
          <w:sz w:val="24"/>
          <w:szCs w:val="24"/>
          <w:shd w:val="clear" w:color="auto" w:fill="FFFFFF"/>
        </w:rPr>
        <w:t xml:space="preserve"> a</w:t>
      </w:r>
      <w:r w:rsidR="00327F48" w:rsidRPr="0043224D">
        <w:rPr>
          <w:rFonts w:ascii="Times New Roman" w:hAnsi="Times New Roman" w:cs="Times New Roman"/>
          <w:color w:val="000000"/>
          <w:sz w:val="24"/>
          <w:szCs w:val="24"/>
          <w:shd w:val="clear" w:color="auto" w:fill="FFFFFF"/>
        </w:rPr>
        <w:t>nd</w:t>
      </w:r>
      <w:r w:rsidR="00745D3B" w:rsidRPr="0043224D">
        <w:rPr>
          <w:rFonts w:ascii="Times New Roman" w:hAnsi="Times New Roman" w:cs="Times New Roman"/>
          <w:color w:val="000000"/>
          <w:sz w:val="24"/>
          <w:szCs w:val="24"/>
          <w:shd w:val="clear" w:color="auto" w:fill="FFFFFF"/>
        </w:rPr>
        <w:t>, in the process, evaluates</w:t>
      </w:r>
      <w:r w:rsidR="00327F48" w:rsidRPr="0043224D">
        <w:rPr>
          <w:rFonts w:ascii="Times New Roman" w:hAnsi="Times New Roman" w:cs="Times New Roman"/>
          <w:color w:val="000000"/>
          <w:sz w:val="24"/>
          <w:szCs w:val="24"/>
          <w:shd w:val="clear" w:color="auto" w:fill="FFFFFF"/>
        </w:rPr>
        <w:t xml:space="preserve"> the scope and content</w:t>
      </w:r>
      <w:r w:rsidR="00C7660C" w:rsidRPr="0043224D">
        <w:rPr>
          <w:rFonts w:ascii="Times New Roman" w:hAnsi="Times New Roman" w:cs="Times New Roman"/>
          <w:color w:val="000000"/>
          <w:sz w:val="24"/>
          <w:szCs w:val="24"/>
          <w:shd w:val="clear" w:color="auto" w:fill="FFFFFF"/>
        </w:rPr>
        <w:t xml:space="preserve"> of specific terms and concepts. For example,</w:t>
      </w:r>
      <w:r w:rsidR="00327F48" w:rsidRPr="0043224D">
        <w:rPr>
          <w:rFonts w:ascii="Times New Roman" w:hAnsi="Times New Roman" w:cs="Times New Roman"/>
          <w:color w:val="000000"/>
          <w:sz w:val="24"/>
          <w:szCs w:val="24"/>
          <w:shd w:val="clear" w:color="auto" w:fill="FFFFFF"/>
        </w:rPr>
        <w:t xml:space="preserve"> the </w:t>
      </w:r>
      <w:r w:rsidR="00D16AF3" w:rsidRPr="0043224D">
        <w:rPr>
          <w:rFonts w:ascii="Times New Roman" w:hAnsi="Times New Roman" w:cs="Times New Roman"/>
          <w:color w:val="000000"/>
          <w:sz w:val="24"/>
          <w:szCs w:val="24"/>
          <w:shd w:val="clear" w:color="auto" w:fill="FFFFFF"/>
        </w:rPr>
        <w:t xml:space="preserve">significance </w:t>
      </w:r>
      <w:r w:rsidR="00327F48" w:rsidRPr="0043224D">
        <w:rPr>
          <w:rFonts w:ascii="Times New Roman" w:hAnsi="Times New Roman" w:cs="Times New Roman"/>
          <w:color w:val="000000"/>
          <w:sz w:val="24"/>
          <w:szCs w:val="24"/>
          <w:shd w:val="clear" w:color="auto" w:fill="FFFFFF"/>
        </w:rPr>
        <w:t>of “compelling and overriding public interest”</w:t>
      </w:r>
      <w:r w:rsidR="00D16AF3" w:rsidRPr="0043224D">
        <w:rPr>
          <w:rStyle w:val="FootnoteReference"/>
          <w:rFonts w:ascii="Times New Roman" w:hAnsi="Times New Roman" w:cs="Times New Roman"/>
          <w:color w:val="000000"/>
          <w:sz w:val="24"/>
          <w:szCs w:val="24"/>
          <w:shd w:val="clear" w:color="auto" w:fill="FFFFFF"/>
        </w:rPr>
        <w:footnoteReference w:id="22"/>
      </w:r>
      <w:r w:rsidR="00327F48" w:rsidRPr="0043224D">
        <w:rPr>
          <w:rFonts w:ascii="Times New Roman" w:hAnsi="Times New Roman" w:cs="Times New Roman"/>
          <w:color w:val="000000"/>
          <w:sz w:val="24"/>
          <w:szCs w:val="24"/>
          <w:shd w:val="clear" w:color="auto" w:fill="FFFFFF"/>
        </w:rPr>
        <w:t xml:space="preserve"> </w:t>
      </w:r>
      <w:r w:rsidR="00D16AF3" w:rsidRPr="0043224D">
        <w:rPr>
          <w:rFonts w:ascii="Times New Roman" w:hAnsi="Times New Roman" w:cs="Times New Roman"/>
          <w:color w:val="000000"/>
          <w:sz w:val="24"/>
          <w:szCs w:val="24"/>
          <w:shd w:val="clear" w:color="auto" w:fill="FFFFFF"/>
        </w:rPr>
        <w:t>in international law in</w:t>
      </w:r>
      <w:r w:rsidR="00327F48" w:rsidRPr="0043224D">
        <w:rPr>
          <w:rFonts w:ascii="Times New Roman" w:hAnsi="Times New Roman" w:cs="Times New Roman"/>
          <w:color w:val="000000"/>
          <w:sz w:val="24"/>
          <w:szCs w:val="24"/>
          <w:shd w:val="clear" w:color="auto" w:fill="FFFFFF"/>
        </w:rPr>
        <w:t xml:space="preserve"> the context of the displacement of </w:t>
      </w:r>
      <w:r w:rsidR="00C7660C" w:rsidRPr="0043224D">
        <w:rPr>
          <w:rFonts w:ascii="Times New Roman" w:hAnsi="Times New Roman" w:cs="Times New Roman"/>
          <w:color w:val="000000"/>
          <w:sz w:val="24"/>
          <w:szCs w:val="24"/>
          <w:shd w:val="clear" w:color="auto" w:fill="FFFFFF"/>
        </w:rPr>
        <w:t>indigenous peoples.</w:t>
      </w:r>
      <w:r w:rsidR="006134AC" w:rsidRPr="0043224D">
        <w:rPr>
          <w:rFonts w:ascii="Tahoma" w:hAnsi="Tahoma" w:cs="Tahoma"/>
          <w:b/>
          <w:color w:val="000000"/>
          <w:sz w:val="24"/>
          <w:szCs w:val="24"/>
          <w:shd w:val="clear" w:color="auto" w:fill="FFFFFF"/>
        </w:rPr>
        <w:t xml:space="preserve"> </w:t>
      </w:r>
      <w:r w:rsidR="00327F48" w:rsidRPr="0043224D">
        <w:rPr>
          <w:rFonts w:ascii="Tahoma" w:hAnsi="Tahoma" w:cs="Tahoma"/>
          <w:b/>
          <w:color w:val="000000"/>
          <w:sz w:val="24"/>
          <w:szCs w:val="24"/>
          <w:shd w:val="clear" w:color="auto" w:fill="FFFFFF"/>
        </w:rPr>
        <w:t xml:space="preserve"> </w:t>
      </w:r>
      <w:r w:rsidR="00F96F2F" w:rsidRPr="0043224D">
        <w:rPr>
          <w:rFonts w:ascii="Tahoma" w:hAnsi="Tahoma" w:cs="Tahoma"/>
          <w:b/>
          <w:color w:val="000000"/>
          <w:sz w:val="24"/>
          <w:szCs w:val="24"/>
          <w:shd w:val="clear" w:color="auto" w:fill="FFFFFF"/>
        </w:rPr>
        <w:t xml:space="preserve"> </w:t>
      </w:r>
      <w:r w:rsidR="009F0635" w:rsidRPr="0043224D">
        <w:rPr>
          <w:rFonts w:ascii="Tahoma" w:hAnsi="Tahoma" w:cs="Tahoma"/>
          <w:b/>
          <w:color w:val="000000"/>
          <w:sz w:val="24"/>
          <w:szCs w:val="24"/>
          <w:shd w:val="clear" w:color="auto" w:fill="FFFFFF"/>
        </w:rPr>
        <w:t xml:space="preserve"> </w:t>
      </w:r>
    </w:p>
    <w:p w:rsidR="00BB22A9" w:rsidRPr="00254C2D" w:rsidRDefault="00ED6F51" w:rsidP="0043224D">
      <w:pPr>
        <w:pStyle w:val="Heading2"/>
        <w:spacing w:line="360" w:lineRule="auto"/>
      </w:pPr>
      <w:bookmarkStart w:id="10" w:name="_Toc399848343"/>
      <w:r>
        <w:t xml:space="preserve">1.6 </w:t>
      </w:r>
      <w:r w:rsidR="00D43529" w:rsidRPr="00254C2D">
        <w:t xml:space="preserve">Scope and </w:t>
      </w:r>
      <w:r w:rsidR="00BB22A9" w:rsidRPr="00254C2D">
        <w:t>limitations</w:t>
      </w:r>
      <w:bookmarkEnd w:id="10"/>
    </w:p>
    <w:p w:rsidR="001E64FD" w:rsidRDefault="00C7660C" w:rsidP="00060EEC">
      <w:pPr>
        <w:spacing w:line="360" w:lineRule="auto"/>
        <w:ind w:firstLine="720"/>
        <w:rPr>
          <w:rFonts w:ascii="Times New Roman" w:hAnsi="Times New Roman" w:cs="Times New Roman"/>
          <w:sz w:val="28"/>
          <w:szCs w:val="28"/>
        </w:rPr>
      </w:pPr>
      <w:r w:rsidRPr="0043224D">
        <w:rPr>
          <w:rFonts w:ascii="Times New Roman" w:hAnsi="Times New Roman" w:cs="Times New Roman"/>
          <w:sz w:val="24"/>
          <w:szCs w:val="24"/>
        </w:rPr>
        <w:t>The</w:t>
      </w:r>
      <w:r w:rsidR="00F33198" w:rsidRPr="0043224D">
        <w:rPr>
          <w:rFonts w:ascii="Times New Roman" w:hAnsi="Times New Roman" w:cs="Times New Roman"/>
          <w:sz w:val="24"/>
          <w:szCs w:val="24"/>
        </w:rPr>
        <w:t xml:space="preserve"> thesis </w:t>
      </w:r>
      <w:r w:rsidR="009946AC" w:rsidRPr="0043224D">
        <w:rPr>
          <w:rFonts w:ascii="Times New Roman" w:hAnsi="Times New Roman" w:cs="Times New Roman"/>
          <w:sz w:val="24"/>
          <w:szCs w:val="24"/>
        </w:rPr>
        <w:t>posits</w:t>
      </w:r>
      <w:r w:rsidR="00F33198" w:rsidRPr="0043224D">
        <w:rPr>
          <w:rFonts w:ascii="Times New Roman" w:hAnsi="Times New Roman" w:cs="Times New Roman"/>
          <w:sz w:val="24"/>
          <w:szCs w:val="24"/>
        </w:rPr>
        <w:t xml:space="preserve"> that there is a</w:t>
      </w:r>
      <w:r w:rsidR="009946AC" w:rsidRPr="0043224D">
        <w:rPr>
          <w:rFonts w:ascii="Times New Roman" w:hAnsi="Times New Roman" w:cs="Times New Roman"/>
          <w:sz w:val="24"/>
          <w:szCs w:val="24"/>
        </w:rPr>
        <w:t xml:space="preserve"> significant</w:t>
      </w:r>
      <w:r w:rsidR="00F33198" w:rsidRPr="0043224D">
        <w:rPr>
          <w:rFonts w:ascii="Times New Roman" w:hAnsi="Times New Roman" w:cs="Times New Roman"/>
          <w:sz w:val="24"/>
          <w:szCs w:val="24"/>
        </w:rPr>
        <w:t xml:space="preserve"> research gap on </w:t>
      </w:r>
      <w:r w:rsidR="00E53095" w:rsidRPr="0043224D">
        <w:rPr>
          <w:rFonts w:ascii="Times New Roman" w:hAnsi="Times New Roman" w:cs="Times New Roman"/>
          <w:sz w:val="24"/>
          <w:szCs w:val="24"/>
        </w:rPr>
        <w:t>d</w:t>
      </w:r>
      <w:r w:rsidR="00E660C5" w:rsidRPr="0043224D">
        <w:rPr>
          <w:rFonts w:ascii="Times New Roman" w:hAnsi="Times New Roman" w:cs="Times New Roman"/>
          <w:sz w:val="24"/>
          <w:szCs w:val="24"/>
        </w:rPr>
        <w:t xml:space="preserve">evelopment-induced </w:t>
      </w:r>
      <w:r w:rsidR="00533D2B" w:rsidRPr="0043224D">
        <w:rPr>
          <w:rFonts w:ascii="Times New Roman" w:hAnsi="Times New Roman" w:cs="Times New Roman"/>
          <w:sz w:val="24"/>
          <w:szCs w:val="24"/>
        </w:rPr>
        <w:t>displacement</w:t>
      </w:r>
      <w:r w:rsidR="009946AC" w:rsidRPr="0043224D">
        <w:rPr>
          <w:rFonts w:ascii="Times New Roman" w:hAnsi="Times New Roman" w:cs="Times New Roman"/>
          <w:sz w:val="24"/>
          <w:szCs w:val="24"/>
        </w:rPr>
        <w:t xml:space="preserve"> and in particular on the effects</w:t>
      </w:r>
      <w:r w:rsidR="001C0F99" w:rsidRPr="0043224D">
        <w:rPr>
          <w:rFonts w:ascii="Times New Roman" w:hAnsi="Times New Roman" w:cs="Times New Roman"/>
          <w:sz w:val="24"/>
          <w:szCs w:val="24"/>
        </w:rPr>
        <w:t xml:space="preserve"> and consequences of d</w:t>
      </w:r>
      <w:r w:rsidR="00533D2B" w:rsidRPr="0043224D">
        <w:rPr>
          <w:rFonts w:ascii="Times New Roman" w:hAnsi="Times New Roman" w:cs="Times New Roman"/>
          <w:sz w:val="24"/>
          <w:szCs w:val="24"/>
        </w:rPr>
        <w:t xml:space="preserve">evelopment-induced </w:t>
      </w:r>
      <w:r w:rsidR="001C0F99" w:rsidRPr="0043224D">
        <w:rPr>
          <w:rFonts w:ascii="Times New Roman" w:hAnsi="Times New Roman" w:cs="Times New Roman"/>
          <w:sz w:val="24"/>
          <w:szCs w:val="24"/>
        </w:rPr>
        <w:t>displacement</w:t>
      </w:r>
      <w:r w:rsidR="005F1914" w:rsidRPr="0043224D">
        <w:rPr>
          <w:rFonts w:ascii="Times New Roman" w:hAnsi="Times New Roman" w:cs="Times New Roman"/>
          <w:sz w:val="24"/>
          <w:szCs w:val="24"/>
        </w:rPr>
        <w:t xml:space="preserve"> </w:t>
      </w:r>
      <w:r w:rsidR="00B37EF0" w:rsidRPr="0043224D">
        <w:rPr>
          <w:rFonts w:ascii="Times New Roman" w:hAnsi="Times New Roman" w:cs="Times New Roman"/>
          <w:sz w:val="24"/>
          <w:szCs w:val="24"/>
        </w:rPr>
        <w:t>on indigenous peoples</w:t>
      </w:r>
      <w:r w:rsidR="009946AC" w:rsidRPr="0043224D">
        <w:rPr>
          <w:rFonts w:ascii="Times New Roman" w:hAnsi="Times New Roman" w:cs="Times New Roman"/>
          <w:sz w:val="24"/>
          <w:szCs w:val="24"/>
        </w:rPr>
        <w:t xml:space="preserve">, in </w:t>
      </w:r>
      <w:r w:rsidR="00E53095" w:rsidRPr="0043224D">
        <w:rPr>
          <w:rFonts w:ascii="Times New Roman" w:hAnsi="Times New Roman" w:cs="Times New Roman"/>
          <w:sz w:val="24"/>
          <w:szCs w:val="24"/>
        </w:rPr>
        <w:t>contrast</w:t>
      </w:r>
      <w:r w:rsidRPr="0043224D">
        <w:rPr>
          <w:rFonts w:ascii="Times New Roman" w:hAnsi="Times New Roman" w:cs="Times New Roman"/>
          <w:sz w:val="24"/>
          <w:szCs w:val="24"/>
        </w:rPr>
        <w:t xml:space="preserve"> that is</w:t>
      </w:r>
      <w:r w:rsidR="00E53095" w:rsidRPr="0043224D">
        <w:rPr>
          <w:rFonts w:ascii="Times New Roman" w:hAnsi="Times New Roman" w:cs="Times New Roman"/>
          <w:sz w:val="24"/>
          <w:szCs w:val="24"/>
        </w:rPr>
        <w:t xml:space="preserve"> with</w:t>
      </w:r>
      <w:r w:rsidR="007A44B4" w:rsidRPr="0043224D">
        <w:rPr>
          <w:rFonts w:ascii="Times New Roman" w:hAnsi="Times New Roman" w:cs="Times New Roman"/>
          <w:sz w:val="24"/>
          <w:szCs w:val="24"/>
        </w:rPr>
        <w:t xml:space="preserve"> the literature on</w:t>
      </w:r>
      <w:r w:rsidR="009946AC" w:rsidRPr="0043224D">
        <w:rPr>
          <w:rFonts w:ascii="Times New Roman" w:hAnsi="Times New Roman" w:cs="Times New Roman"/>
          <w:sz w:val="24"/>
          <w:szCs w:val="24"/>
        </w:rPr>
        <w:t xml:space="preserve"> displacement of populations caused by </w:t>
      </w:r>
      <w:r w:rsidRPr="0043224D">
        <w:rPr>
          <w:rFonts w:ascii="Times New Roman" w:hAnsi="Times New Roman" w:cs="Times New Roman"/>
          <w:sz w:val="24"/>
          <w:szCs w:val="24"/>
        </w:rPr>
        <w:t>conflict, natural disasters</w:t>
      </w:r>
      <w:r w:rsidR="009946AC" w:rsidRPr="0043224D">
        <w:rPr>
          <w:rFonts w:ascii="Times New Roman" w:hAnsi="Times New Roman" w:cs="Times New Roman"/>
          <w:sz w:val="24"/>
          <w:szCs w:val="24"/>
        </w:rPr>
        <w:t xml:space="preserve">, </w:t>
      </w:r>
      <w:r w:rsidRPr="0043224D">
        <w:rPr>
          <w:rFonts w:ascii="Times New Roman" w:hAnsi="Times New Roman" w:cs="Times New Roman"/>
          <w:sz w:val="24"/>
          <w:szCs w:val="24"/>
        </w:rPr>
        <w:t xml:space="preserve">and increasingly, </w:t>
      </w:r>
      <w:r w:rsidR="009946AC" w:rsidRPr="0043224D">
        <w:rPr>
          <w:rFonts w:ascii="Times New Roman" w:hAnsi="Times New Roman" w:cs="Times New Roman"/>
          <w:sz w:val="24"/>
          <w:szCs w:val="24"/>
        </w:rPr>
        <w:t>clima</w:t>
      </w:r>
      <w:r w:rsidRPr="0043224D">
        <w:rPr>
          <w:rFonts w:ascii="Times New Roman" w:hAnsi="Times New Roman" w:cs="Times New Roman"/>
          <w:sz w:val="24"/>
          <w:szCs w:val="24"/>
        </w:rPr>
        <w:t>te change</w:t>
      </w:r>
      <w:r w:rsidR="002815E7" w:rsidRPr="0043224D">
        <w:rPr>
          <w:rFonts w:ascii="Times New Roman" w:hAnsi="Times New Roman" w:cs="Times New Roman"/>
          <w:sz w:val="24"/>
          <w:szCs w:val="24"/>
        </w:rPr>
        <w:t>. It also</w:t>
      </w:r>
      <w:r w:rsidR="007A44B4" w:rsidRPr="0043224D">
        <w:rPr>
          <w:rFonts w:ascii="Times New Roman" w:hAnsi="Times New Roman" w:cs="Times New Roman"/>
          <w:sz w:val="24"/>
          <w:szCs w:val="24"/>
        </w:rPr>
        <w:t xml:space="preserve"> limits its area of concern and investigation to displacement</w:t>
      </w:r>
      <w:r w:rsidRPr="0043224D">
        <w:rPr>
          <w:rFonts w:ascii="Times New Roman" w:hAnsi="Times New Roman" w:cs="Times New Roman"/>
          <w:sz w:val="24"/>
          <w:szCs w:val="24"/>
        </w:rPr>
        <w:t xml:space="preserve"> induced by mining, logging and dam building</w:t>
      </w:r>
      <w:r w:rsidR="002815E7" w:rsidRPr="0043224D">
        <w:rPr>
          <w:rFonts w:ascii="Times New Roman" w:hAnsi="Times New Roman" w:cs="Times New Roman"/>
          <w:sz w:val="24"/>
          <w:szCs w:val="24"/>
        </w:rPr>
        <w:t>, primarily becau</w:t>
      </w:r>
      <w:r w:rsidR="00B37EF0" w:rsidRPr="0043224D">
        <w:rPr>
          <w:rFonts w:ascii="Times New Roman" w:hAnsi="Times New Roman" w:cs="Times New Roman"/>
          <w:sz w:val="24"/>
          <w:szCs w:val="24"/>
        </w:rPr>
        <w:t>se these</w:t>
      </w:r>
      <w:r w:rsidR="005B48C3" w:rsidRPr="0043224D">
        <w:rPr>
          <w:rFonts w:ascii="Times New Roman" w:hAnsi="Times New Roman" w:cs="Times New Roman"/>
          <w:sz w:val="24"/>
          <w:szCs w:val="24"/>
        </w:rPr>
        <w:t xml:space="preserve"> three</w:t>
      </w:r>
      <w:r w:rsidR="00B37EF0" w:rsidRPr="0043224D">
        <w:rPr>
          <w:rFonts w:ascii="Times New Roman" w:hAnsi="Times New Roman" w:cs="Times New Roman"/>
          <w:sz w:val="24"/>
          <w:szCs w:val="24"/>
        </w:rPr>
        <w:t xml:space="preserve"> drivers of indigenous </w:t>
      </w:r>
      <w:r w:rsidR="00795BB3" w:rsidRPr="0043224D">
        <w:rPr>
          <w:rFonts w:ascii="Times New Roman" w:hAnsi="Times New Roman" w:cs="Times New Roman"/>
          <w:sz w:val="24"/>
          <w:szCs w:val="24"/>
        </w:rPr>
        <w:t>people’s</w:t>
      </w:r>
      <w:r w:rsidR="002815E7" w:rsidRPr="0043224D">
        <w:rPr>
          <w:rFonts w:ascii="Times New Roman" w:hAnsi="Times New Roman" w:cs="Times New Roman"/>
          <w:sz w:val="24"/>
          <w:szCs w:val="24"/>
        </w:rPr>
        <w:t xml:space="preserve"> displacement are</w:t>
      </w:r>
      <w:r w:rsidR="001E0B96" w:rsidRPr="0043224D">
        <w:rPr>
          <w:rFonts w:ascii="Times New Roman" w:hAnsi="Times New Roman" w:cs="Times New Roman"/>
          <w:sz w:val="24"/>
          <w:szCs w:val="24"/>
        </w:rPr>
        <w:t xml:space="preserve"> widely</w:t>
      </w:r>
      <w:r w:rsidR="002815E7" w:rsidRPr="0043224D">
        <w:rPr>
          <w:rFonts w:ascii="Times New Roman" w:hAnsi="Times New Roman" w:cs="Times New Roman"/>
          <w:sz w:val="24"/>
          <w:szCs w:val="24"/>
        </w:rPr>
        <w:t xml:space="preserve"> </w:t>
      </w:r>
      <w:r w:rsidR="001E0B96" w:rsidRPr="0043224D">
        <w:rPr>
          <w:rFonts w:ascii="Times New Roman" w:hAnsi="Times New Roman" w:cs="Times New Roman"/>
          <w:sz w:val="24"/>
          <w:szCs w:val="24"/>
        </w:rPr>
        <w:t>understood</w:t>
      </w:r>
      <w:r w:rsidR="002815E7" w:rsidRPr="0043224D">
        <w:rPr>
          <w:rFonts w:ascii="Times New Roman" w:hAnsi="Times New Roman" w:cs="Times New Roman"/>
          <w:sz w:val="24"/>
          <w:szCs w:val="24"/>
        </w:rPr>
        <w:t xml:space="preserve"> as the main causes of dispossession. </w:t>
      </w:r>
      <w:r w:rsidR="003A51CA">
        <w:rPr>
          <w:rFonts w:ascii="Times New Roman" w:hAnsi="Times New Roman" w:cs="Times New Roman"/>
          <w:sz w:val="24"/>
          <w:szCs w:val="24"/>
        </w:rPr>
        <w:t>Furthermore</w:t>
      </w:r>
      <w:r w:rsidR="00E53095" w:rsidRPr="0043224D">
        <w:rPr>
          <w:rFonts w:ascii="Times New Roman" w:hAnsi="Times New Roman" w:cs="Times New Roman"/>
          <w:sz w:val="24"/>
          <w:szCs w:val="24"/>
        </w:rPr>
        <w:t xml:space="preserve"> the</w:t>
      </w:r>
      <w:r w:rsidR="00EE4F38" w:rsidRPr="0043224D">
        <w:rPr>
          <w:rFonts w:ascii="Times New Roman" w:hAnsi="Times New Roman" w:cs="Times New Roman"/>
          <w:sz w:val="24"/>
          <w:szCs w:val="24"/>
        </w:rPr>
        <w:t xml:space="preserve"> study</w:t>
      </w:r>
      <w:r w:rsidR="00745D3B" w:rsidRPr="0043224D">
        <w:rPr>
          <w:rFonts w:ascii="Times New Roman" w:hAnsi="Times New Roman" w:cs="Times New Roman"/>
          <w:sz w:val="24"/>
          <w:szCs w:val="24"/>
        </w:rPr>
        <w:t xml:space="preserve"> for reasons of space</w:t>
      </w:r>
      <w:r w:rsidR="00EE4F38" w:rsidRPr="0043224D">
        <w:rPr>
          <w:rFonts w:ascii="Times New Roman" w:hAnsi="Times New Roman" w:cs="Times New Roman"/>
          <w:sz w:val="24"/>
          <w:szCs w:val="24"/>
        </w:rPr>
        <w:t xml:space="preserve"> </w:t>
      </w:r>
      <w:r w:rsidR="00DD3D96" w:rsidRPr="0043224D">
        <w:rPr>
          <w:rFonts w:ascii="Times New Roman" w:hAnsi="Times New Roman" w:cs="Times New Roman"/>
          <w:sz w:val="24"/>
          <w:szCs w:val="24"/>
        </w:rPr>
        <w:t>limits its</w:t>
      </w:r>
      <w:r w:rsidR="00745D3B" w:rsidRPr="0043224D">
        <w:rPr>
          <w:rFonts w:ascii="Times New Roman" w:hAnsi="Times New Roman" w:cs="Times New Roman"/>
          <w:sz w:val="24"/>
          <w:szCs w:val="24"/>
        </w:rPr>
        <w:t xml:space="preserve"> engage</w:t>
      </w:r>
      <w:r w:rsidR="00DD3D96" w:rsidRPr="0043224D">
        <w:rPr>
          <w:rFonts w:ascii="Times New Roman" w:hAnsi="Times New Roman" w:cs="Times New Roman"/>
          <w:sz w:val="24"/>
          <w:szCs w:val="24"/>
        </w:rPr>
        <w:t>ment</w:t>
      </w:r>
      <w:r w:rsidR="00745D3B" w:rsidRPr="0043224D">
        <w:rPr>
          <w:rFonts w:ascii="Times New Roman" w:hAnsi="Times New Roman" w:cs="Times New Roman"/>
          <w:sz w:val="24"/>
          <w:szCs w:val="24"/>
        </w:rPr>
        <w:t xml:space="preserve"> with</w:t>
      </w:r>
      <w:r w:rsidR="00750B57" w:rsidRPr="0043224D">
        <w:rPr>
          <w:rFonts w:ascii="Times New Roman" w:hAnsi="Times New Roman" w:cs="Times New Roman"/>
          <w:sz w:val="24"/>
          <w:szCs w:val="24"/>
        </w:rPr>
        <w:t xml:space="preserve"> issues</w:t>
      </w:r>
      <w:r w:rsidR="00745D3B" w:rsidRPr="0043224D">
        <w:rPr>
          <w:rFonts w:ascii="Times New Roman" w:hAnsi="Times New Roman" w:cs="Times New Roman"/>
          <w:sz w:val="24"/>
          <w:szCs w:val="24"/>
        </w:rPr>
        <w:t xml:space="preserve"> such </w:t>
      </w:r>
      <w:r w:rsidR="00DD3D96" w:rsidRPr="0043224D">
        <w:rPr>
          <w:rFonts w:ascii="Times New Roman" w:hAnsi="Times New Roman" w:cs="Times New Roman"/>
          <w:sz w:val="24"/>
          <w:szCs w:val="24"/>
        </w:rPr>
        <w:t>as</w:t>
      </w:r>
      <w:r w:rsidR="00594382" w:rsidRPr="0043224D">
        <w:rPr>
          <w:rFonts w:ascii="Times New Roman" w:hAnsi="Times New Roman" w:cs="Times New Roman"/>
          <w:sz w:val="24"/>
          <w:szCs w:val="24"/>
        </w:rPr>
        <w:t xml:space="preserve"> </w:t>
      </w:r>
      <w:r w:rsidR="00DD3D96" w:rsidRPr="0043224D">
        <w:rPr>
          <w:rFonts w:ascii="Times New Roman" w:hAnsi="Times New Roman" w:cs="Times New Roman"/>
          <w:sz w:val="24"/>
          <w:szCs w:val="24"/>
        </w:rPr>
        <w:t xml:space="preserve">self-determination or </w:t>
      </w:r>
      <w:r w:rsidR="00750B57" w:rsidRPr="0043224D">
        <w:rPr>
          <w:rFonts w:ascii="Times New Roman" w:hAnsi="Times New Roman" w:cs="Times New Roman"/>
          <w:sz w:val="24"/>
          <w:szCs w:val="24"/>
        </w:rPr>
        <w:t xml:space="preserve">environmental </w:t>
      </w:r>
      <w:r w:rsidR="00DD3D96" w:rsidRPr="0043224D">
        <w:rPr>
          <w:rFonts w:ascii="Times New Roman" w:hAnsi="Times New Roman" w:cs="Times New Roman"/>
          <w:sz w:val="24"/>
          <w:szCs w:val="24"/>
        </w:rPr>
        <w:t>concerns</w:t>
      </w:r>
      <w:r w:rsidR="00750B57" w:rsidRPr="0043224D">
        <w:rPr>
          <w:rFonts w:ascii="Times New Roman" w:hAnsi="Times New Roman" w:cs="Times New Roman"/>
          <w:sz w:val="24"/>
          <w:szCs w:val="24"/>
        </w:rPr>
        <w:t xml:space="preserve">. Although </w:t>
      </w:r>
      <w:r w:rsidR="00997D7E" w:rsidRPr="0043224D">
        <w:rPr>
          <w:rFonts w:ascii="Times New Roman" w:hAnsi="Times New Roman" w:cs="Times New Roman"/>
          <w:sz w:val="24"/>
          <w:szCs w:val="24"/>
        </w:rPr>
        <w:t>both</w:t>
      </w:r>
      <w:r w:rsidR="00750B57" w:rsidRPr="0043224D">
        <w:rPr>
          <w:rFonts w:ascii="Times New Roman" w:hAnsi="Times New Roman" w:cs="Times New Roman"/>
          <w:sz w:val="24"/>
          <w:szCs w:val="24"/>
        </w:rPr>
        <w:t xml:space="preserve"> are of vital if not critical importance, to touch on any of these issues would </w:t>
      </w:r>
      <w:r w:rsidR="00997D7E" w:rsidRPr="0043224D">
        <w:rPr>
          <w:rFonts w:ascii="Times New Roman" w:hAnsi="Times New Roman" w:cs="Times New Roman"/>
          <w:sz w:val="24"/>
          <w:szCs w:val="24"/>
        </w:rPr>
        <w:t>lead</w:t>
      </w:r>
      <w:r w:rsidR="00796CF0" w:rsidRPr="0043224D">
        <w:rPr>
          <w:rFonts w:ascii="Times New Roman" w:hAnsi="Times New Roman" w:cs="Times New Roman"/>
          <w:sz w:val="24"/>
          <w:szCs w:val="24"/>
        </w:rPr>
        <w:t xml:space="preserve"> </w:t>
      </w:r>
      <w:r w:rsidR="00750B57" w:rsidRPr="0043224D">
        <w:rPr>
          <w:rFonts w:ascii="Times New Roman" w:hAnsi="Times New Roman" w:cs="Times New Roman"/>
          <w:sz w:val="24"/>
          <w:szCs w:val="24"/>
        </w:rPr>
        <w:t>the thesis to lose its specific focus o</w:t>
      </w:r>
      <w:r w:rsidR="00B05D93" w:rsidRPr="0043224D">
        <w:rPr>
          <w:rFonts w:ascii="Times New Roman" w:hAnsi="Times New Roman" w:cs="Times New Roman"/>
          <w:sz w:val="24"/>
          <w:szCs w:val="24"/>
        </w:rPr>
        <w:t>n</w:t>
      </w:r>
      <w:r w:rsidR="00750B57" w:rsidRPr="0043224D">
        <w:rPr>
          <w:rFonts w:ascii="Times New Roman" w:hAnsi="Times New Roman" w:cs="Times New Roman"/>
          <w:sz w:val="24"/>
          <w:szCs w:val="24"/>
        </w:rPr>
        <w:t xml:space="preserve"> forced displacement</w:t>
      </w:r>
      <w:r w:rsidR="00BE1EC0" w:rsidRPr="0043224D">
        <w:rPr>
          <w:rFonts w:ascii="Times New Roman" w:hAnsi="Times New Roman" w:cs="Times New Roman"/>
          <w:sz w:val="24"/>
          <w:szCs w:val="24"/>
        </w:rPr>
        <w:t xml:space="preserve"> as an area of imminent concern</w:t>
      </w:r>
      <w:r w:rsidR="00750B57" w:rsidRPr="00254C2D">
        <w:rPr>
          <w:rFonts w:ascii="Times New Roman" w:hAnsi="Times New Roman" w:cs="Times New Roman"/>
          <w:sz w:val="28"/>
          <w:szCs w:val="28"/>
        </w:rPr>
        <w:t xml:space="preserve">.  </w:t>
      </w:r>
    </w:p>
    <w:p w:rsidR="00ED6F51" w:rsidRPr="00ED6F51" w:rsidRDefault="00ED6F51" w:rsidP="0043224D">
      <w:pPr>
        <w:pStyle w:val="Heading2"/>
        <w:spacing w:line="360" w:lineRule="auto"/>
      </w:pPr>
      <w:bookmarkStart w:id="11" w:name="_Toc399848344"/>
      <w:r w:rsidRPr="00ED6F51">
        <w:t>1.7 Thesis Structure</w:t>
      </w:r>
      <w:bookmarkEnd w:id="11"/>
      <w:r w:rsidRPr="00ED6F51">
        <w:t xml:space="preserve"> </w:t>
      </w:r>
    </w:p>
    <w:p w:rsidR="001A70A9" w:rsidRPr="009450C0" w:rsidRDefault="009450C0" w:rsidP="00060EE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Chapter </w:t>
      </w:r>
      <w:r w:rsidR="007C199E">
        <w:rPr>
          <w:rFonts w:ascii="Times New Roman" w:hAnsi="Times New Roman" w:cs="Times New Roman"/>
          <w:sz w:val="24"/>
          <w:szCs w:val="24"/>
        </w:rPr>
        <w:t xml:space="preserve">two </w:t>
      </w:r>
      <w:r>
        <w:rPr>
          <w:rFonts w:ascii="Times New Roman" w:hAnsi="Times New Roman" w:cs="Times New Roman"/>
          <w:sz w:val="24"/>
          <w:szCs w:val="24"/>
        </w:rPr>
        <w:t>broadly discusses and presents the contextual and historical background</w:t>
      </w:r>
      <w:r w:rsidR="003A51CA">
        <w:rPr>
          <w:rFonts w:ascii="Times New Roman" w:hAnsi="Times New Roman" w:cs="Times New Roman"/>
          <w:sz w:val="24"/>
          <w:szCs w:val="24"/>
        </w:rPr>
        <w:t xml:space="preserve"> </w:t>
      </w:r>
      <w:r>
        <w:rPr>
          <w:rFonts w:ascii="Times New Roman" w:hAnsi="Times New Roman" w:cs="Times New Roman"/>
          <w:sz w:val="24"/>
          <w:szCs w:val="24"/>
        </w:rPr>
        <w:t xml:space="preserve">which is critical to an understanding </w:t>
      </w:r>
      <w:r w:rsidR="007C199E">
        <w:rPr>
          <w:rFonts w:ascii="Times New Roman" w:hAnsi="Times New Roman" w:cs="Times New Roman"/>
          <w:sz w:val="24"/>
          <w:szCs w:val="24"/>
        </w:rPr>
        <w:t xml:space="preserve">the current phenomenon of development-induced displacement. Chapter three builds on this understanding, focusing on the “battle” between development as a normative imperative as understood by the state, versus the collective rights of indigenous peoples not to be displaced as a consequence of the worst excesses of development. </w:t>
      </w:r>
      <w:r w:rsidR="00FB67A2">
        <w:rPr>
          <w:rFonts w:ascii="Times New Roman" w:hAnsi="Times New Roman" w:cs="Times New Roman"/>
          <w:sz w:val="24"/>
          <w:szCs w:val="24"/>
        </w:rPr>
        <w:t>Both c</w:t>
      </w:r>
      <w:r w:rsidR="007C199E">
        <w:rPr>
          <w:rFonts w:ascii="Times New Roman" w:hAnsi="Times New Roman" w:cs="Times New Roman"/>
          <w:sz w:val="24"/>
          <w:szCs w:val="24"/>
        </w:rPr>
        <w:t>hapters</w:t>
      </w:r>
      <w:r w:rsidR="00FB67A2">
        <w:rPr>
          <w:rFonts w:ascii="Times New Roman" w:hAnsi="Times New Roman" w:cs="Times New Roman"/>
          <w:sz w:val="24"/>
          <w:szCs w:val="24"/>
        </w:rPr>
        <w:t xml:space="preserve"> four and five investigate and assess </w:t>
      </w:r>
      <w:r w:rsidR="007C199E">
        <w:rPr>
          <w:rFonts w:ascii="Times New Roman" w:hAnsi="Times New Roman" w:cs="Times New Roman"/>
          <w:sz w:val="24"/>
          <w:szCs w:val="24"/>
        </w:rPr>
        <w:t xml:space="preserve">the international </w:t>
      </w:r>
      <w:r w:rsidR="00FB67A2">
        <w:rPr>
          <w:rFonts w:ascii="Times New Roman" w:hAnsi="Times New Roman" w:cs="Times New Roman"/>
          <w:sz w:val="24"/>
          <w:szCs w:val="24"/>
        </w:rPr>
        <w:t xml:space="preserve">human rights provisions, judgments and overall </w:t>
      </w:r>
      <w:r w:rsidR="007C199E">
        <w:rPr>
          <w:rFonts w:ascii="Times New Roman" w:hAnsi="Times New Roman" w:cs="Times New Roman"/>
          <w:sz w:val="24"/>
          <w:szCs w:val="24"/>
        </w:rPr>
        <w:t xml:space="preserve">sources in both hard and soft law of the right not to be forcibly displaced, in particular concentrating on ILO 169, the UN </w:t>
      </w:r>
      <w:r w:rsidR="00FB67A2">
        <w:rPr>
          <w:rFonts w:ascii="Times New Roman" w:hAnsi="Times New Roman" w:cs="Times New Roman"/>
          <w:sz w:val="24"/>
          <w:szCs w:val="24"/>
        </w:rPr>
        <w:t>Guiding</w:t>
      </w:r>
      <w:r w:rsidR="007C199E">
        <w:rPr>
          <w:rFonts w:ascii="Times New Roman" w:hAnsi="Times New Roman" w:cs="Times New Roman"/>
          <w:sz w:val="24"/>
          <w:szCs w:val="24"/>
        </w:rPr>
        <w:t xml:space="preserve"> Principles, and the pertinent provisions of the UNDRIP. </w:t>
      </w:r>
      <w:r w:rsidR="00FB67A2">
        <w:rPr>
          <w:rFonts w:ascii="Times New Roman" w:hAnsi="Times New Roman" w:cs="Times New Roman"/>
          <w:sz w:val="24"/>
          <w:szCs w:val="24"/>
        </w:rPr>
        <w:t xml:space="preserve">Chapter six evaluates key jurisprudence in relation to the displacement by development projects. Finally the thesis concludes that the key factor in preventing forcible displacement ultimately lies with the state.  Regrettably however, due both to lack of implementation of key </w:t>
      </w:r>
      <w:r w:rsidR="003A51CA">
        <w:rPr>
          <w:rFonts w:ascii="Times New Roman" w:hAnsi="Times New Roman" w:cs="Times New Roman"/>
          <w:sz w:val="24"/>
          <w:szCs w:val="24"/>
        </w:rPr>
        <w:t>rights,</w:t>
      </w:r>
      <w:r w:rsidR="00FB67A2">
        <w:rPr>
          <w:rFonts w:ascii="Times New Roman" w:hAnsi="Times New Roman" w:cs="Times New Roman"/>
          <w:sz w:val="24"/>
          <w:szCs w:val="24"/>
        </w:rPr>
        <w:t xml:space="preserve"> and often enlightened judicial decisions,</w:t>
      </w:r>
      <w:r w:rsidR="00C6366B">
        <w:rPr>
          <w:rFonts w:ascii="Times New Roman" w:hAnsi="Times New Roman" w:cs="Times New Roman"/>
          <w:sz w:val="24"/>
          <w:szCs w:val="24"/>
        </w:rPr>
        <w:t xml:space="preserve"> this </w:t>
      </w:r>
      <w:r w:rsidR="003A51CA">
        <w:rPr>
          <w:rFonts w:ascii="Times New Roman" w:hAnsi="Times New Roman" w:cs="Times New Roman"/>
          <w:sz w:val="24"/>
          <w:szCs w:val="24"/>
        </w:rPr>
        <w:t>lack of effective implementation by states</w:t>
      </w:r>
      <w:r w:rsidR="00C6366B">
        <w:rPr>
          <w:rFonts w:ascii="Times New Roman" w:hAnsi="Times New Roman" w:cs="Times New Roman"/>
          <w:sz w:val="24"/>
          <w:szCs w:val="24"/>
        </w:rPr>
        <w:t xml:space="preserve"> </w:t>
      </w:r>
      <w:r w:rsidR="003A51CA">
        <w:rPr>
          <w:rFonts w:ascii="Times New Roman" w:hAnsi="Times New Roman" w:cs="Times New Roman"/>
          <w:sz w:val="24"/>
          <w:szCs w:val="24"/>
        </w:rPr>
        <w:t>may yet prove to be highly detrimental</w:t>
      </w:r>
      <w:r w:rsidR="00C6366B">
        <w:rPr>
          <w:rFonts w:ascii="Times New Roman" w:hAnsi="Times New Roman" w:cs="Times New Roman"/>
          <w:sz w:val="24"/>
          <w:szCs w:val="24"/>
        </w:rPr>
        <w:t xml:space="preserve"> </w:t>
      </w:r>
      <w:r w:rsidR="003A51CA">
        <w:rPr>
          <w:rFonts w:ascii="Times New Roman" w:hAnsi="Times New Roman" w:cs="Times New Roman"/>
          <w:sz w:val="24"/>
          <w:szCs w:val="24"/>
        </w:rPr>
        <w:t xml:space="preserve">for </w:t>
      </w:r>
      <w:r w:rsidR="00C6366B">
        <w:rPr>
          <w:rFonts w:ascii="Times New Roman" w:hAnsi="Times New Roman" w:cs="Times New Roman"/>
          <w:sz w:val="24"/>
          <w:szCs w:val="24"/>
        </w:rPr>
        <w:t xml:space="preserve">global indigenous society. </w:t>
      </w:r>
    </w:p>
    <w:p w:rsidR="00DC7A14" w:rsidRPr="00997D7E" w:rsidRDefault="00DC7A14" w:rsidP="0043224D">
      <w:pPr>
        <w:autoSpaceDE w:val="0"/>
        <w:autoSpaceDN w:val="0"/>
        <w:adjustRightInd w:val="0"/>
        <w:spacing w:after="0" w:line="360" w:lineRule="auto"/>
        <w:rPr>
          <w:rFonts w:ascii="Arial" w:hAnsi="Arial" w:cs="Arial"/>
          <w:b/>
          <w:i/>
          <w:szCs w:val="20"/>
        </w:rPr>
      </w:pPr>
    </w:p>
    <w:p w:rsidR="00060EEC" w:rsidRDefault="00060EEC">
      <w:pPr>
        <w:rPr>
          <w:rFonts w:ascii="Times New Roman" w:eastAsiaTheme="majorEastAsia" w:hAnsi="Times New Roman" w:cstheme="majorBidi"/>
          <w:b/>
          <w:bCs/>
          <w:color w:val="365F91" w:themeColor="accent1" w:themeShade="BF"/>
          <w:sz w:val="36"/>
          <w:szCs w:val="28"/>
        </w:rPr>
      </w:pPr>
      <w:r>
        <w:br w:type="page"/>
      </w:r>
    </w:p>
    <w:p w:rsidR="00ED6F51" w:rsidRDefault="0081155D" w:rsidP="0043224D">
      <w:pPr>
        <w:pStyle w:val="Heading1"/>
        <w:spacing w:line="360" w:lineRule="auto"/>
      </w:pPr>
      <w:bookmarkStart w:id="12" w:name="_Toc399848345"/>
      <w:r>
        <w:t xml:space="preserve">Chapter 2 - </w:t>
      </w:r>
      <w:r w:rsidR="00BB22A9" w:rsidRPr="00254C2D">
        <w:t>Indigenous Peoples</w:t>
      </w:r>
      <w:r w:rsidR="00ED6F51">
        <w:t xml:space="preserve"> and</w:t>
      </w:r>
      <w:r w:rsidR="008A2C9C" w:rsidRPr="00254C2D">
        <w:t xml:space="preserve"> Human Rights</w:t>
      </w:r>
      <w:r w:rsidR="00850722">
        <w:t>: Historical and Contemporary Context</w:t>
      </w:r>
      <w:bookmarkEnd w:id="12"/>
    </w:p>
    <w:p w:rsidR="00300644" w:rsidRPr="008C72BB" w:rsidRDefault="006179B8" w:rsidP="0043224D">
      <w:pPr>
        <w:pStyle w:val="Heading2"/>
        <w:spacing w:line="360" w:lineRule="auto"/>
      </w:pPr>
      <w:bookmarkStart w:id="13" w:name="_Toc399848346"/>
      <w:r>
        <w:t>2.1</w:t>
      </w:r>
      <w:r w:rsidR="007A0D17" w:rsidRPr="00254C2D">
        <w:t xml:space="preserve"> </w:t>
      </w:r>
      <w:r w:rsidR="008C72BB" w:rsidRPr="008C72BB">
        <w:t>Historical</w:t>
      </w:r>
      <w:r w:rsidR="00AF661A" w:rsidRPr="008C72BB">
        <w:t xml:space="preserve"> </w:t>
      </w:r>
      <w:r w:rsidR="00ED7C8B" w:rsidRPr="008C72BB">
        <w:t>Background</w:t>
      </w:r>
      <w:r w:rsidR="008C72BB" w:rsidRPr="008C72BB">
        <w:t xml:space="preserve"> </w:t>
      </w:r>
      <w:r w:rsidR="001B2B31" w:rsidRPr="008C72BB">
        <w:t xml:space="preserve">and </w:t>
      </w:r>
      <w:r w:rsidR="008C72BB" w:rsidRPr="008C72BB">
        <w:t>Definitional Issues</w:t>
      </w:r>
      <w:r w:rsidR="00906A21">
        <w:t>:</w:t>
      </w:r>
      <w:r w:rsidR="008C72BB" w:rsidRPr="008C72BB">
        <w:t xml:space="preserve"> </w:t>
      </w:r>
      <w:r w:rsidR="001B2B31" w:rsidRPr="008C72BB">
        <w:t>the term Indigenous</w:t>
      </w:r>
      <w:bookmarkEnd w:id="13"/>
      <w:r w:rsidR="001B2B31" w:rsidRPr="008C72BB">
        <w:t xml:space="preserve"> </w:t>
      </w:r>
    </w:p>
    <w:p w:rsidR="00213BFA" w:rsidRPr="0043224D" w:rsidRDefault="006E0456" w:rsidP="00060EEC">
      <w:pPr>
        <w:spacing w:before="100" w:beforeAutospacing="1" w:after="100" w:afterAutospacing="1" w:line="360" w:lineRule="auto"/>
        <w:ind w:firstLine="720"/>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At the outset, it is important to point out that a precise legal, cultural or sociological definition</w:t>
      </w:r>
      <w:r w:rsidR="002815E7" w:rsidRPr="0043224D">
        <w:rPr>
          <w:rFonts w:ascii="Times New Roman" w:eastAsia="Times New Roman" w:hAnsi="Times New Roman" w:cs="Times New Roman"/>
          <w:bCs/>
          <w:color w:val="000000"/>
          <w:sz w:val="24"/>
          <w:szCs w:val="24"/>
        </w:rPr>
        <w:t xml:space="preserve"> of indigenous peoples</w:t>
      </w:r>
      <w:r w:rsidR="00515A83" w:rsidRPr="0043224D">
        <w:rPr>
          <w:rFonts w:ascii="Times New Roman" w:eastAsia="Times New Roman" w:hAnsi="Times New Roman" w:cs="Times New Roman"/>
          <w:bCs/>
          <w:color w:val="000000"/>
          <w:sz w:val="24"/>
          <w:szCs w:val="24"/>
        </w:rPr>
        <w:t xml:space="preserve"> does not exist.</w:t>
      </w:r>
      <w:r w:rsidR="002815E7" w:rsidRPr="0043224D">
        <w:rPr>
          <w:rFonts w:ascii="Times New Roman" w:eastAsia="Times New Roman" w:hAnsi="Times New Roman" w:cs="Times New Roman"/>
          <w:bCs/>
          <w:color w:val="000000"/>
          <w:sz w:val="24"/>
          <w:szCs w:val="24"/>
        </w:rPr>
        <w:t xml:space="preserve"> </w:t>
      </w:r>
      <w:r w:rsidR="00515A83" w:rsidRPr="0043224D">
        <w:rPr>
          <w:rFonts w:ascii="Times New Roman" w:eastAsia="Times New Roman" w:hAnsi="Times New Roman" w:cs="Times New Roman"/>
          <w:bCs/>
          <w:color w:val="000000"/>
          <w:sz w:val="24"/>
          <w:szCs w:val="24"/>
        </w:rPr>
        <w:t>Whether</w:t>
      </w:r>
      <w:r w:rsidRPr="0043224D">
        <w:rPr>
          <w:rFonts w:ascii="Times New Roman" w:eastAsia="Times New Roman" w:hAnsi="Times New Roman" w:cs="Times New Roman"/>
          <w:bCs/>
          <w:color w:val="000000"/>
          <w:sz w:val="24"/>
          <w:szCs w:val="24"/>
        </w:rPr>
        <w:t xml:space="preserve"> self-designated by </w:t>
      </w:r>
      <w:r w:rsidR="00515A83" w:rsidRPr="0043224D">
        <w:rPr>
          <w:rFonts w:ascii="Times New Roman" w:eastAsia="Times New Roman" w:hAnsi="Times New Roman" w:cs="Times New Roman"/>
          <w:bCs/>
          <w:color w:val="000000"/>
          <w:sz w:val="24"/>
          <w:szCs w:val="24"/>
        </w:rPr>
        <w:t xml:space="preserve">indigenous </w:t>
      </w:r>
      <w:r w:rsidRPr="0043224D">
        <w:rPr>
          <w:rFonts w:ascii="Times New Roman" w:eastAsia="Times New Roman" w:hAnsi="Times New Roman" w:cs="Times New Roman"/>
          <w:bCs/>
          <w:color w:val="000000"/>
          <w:sz w:val="24"/>
          <w:szCs w:val="24"/>
        </w:rPr>
        <w:t>peoples</w:t>
      </w:r>
      <w:r w:rsidR="00515A83" w:rsidRPr="0043224D">
        <w:rPr>
          <w:rFonts w:ascii="Times New Roman" w:eastAsia="Times New Roman" w:hAnsi="Times New Roman" w:cs="Times New Roman"/>
          <w:bCs/>
          <w:color w:val="000000"/>
          <w:sz w:val="24"/>
          <w:szCs w:val="24"/>
        </w:rPr>
        <w:t>,</w:t>
      </w:r>
      <w:r w:rsidRPr="0043224D">
        <w:rPr>
          <w:rFonts w:ascii="Times New Roman" w:eastAsia="Times New Roman" w:hAnsi="Times New Roman" w:cs="Times New Roman"/>
          <w:bCs/>
          <w:color w:val="000000"/>
          <w:sz w:val="24"/>
          <w:szCs w:val="24"/>
        </w:rPr>
        <w:t xml:space="preserve"> or from outside by</w:t>
      </w:r>
      <w:r w:rsidR="00EE4F38" w:rsidRPr="0043224D">
        <w:rPr>
          <w:rFonts w:ascii="Times New Roman" w:eastAsia="Times New Roman" w:hAnsi="Times New Roman" w:cs="Times New Roman"/>
          <w:bCs/>
          <w:color w:val="000000"/>
          <w:sz w:val="24"/>
          <w:szCs w:val="24"/>
        </w:rPr>
        <w:t xml:space="preserve"> the dominant culture,</w:t>
      </w:r>
      <w:r w:rsidRPr="0043224D">
        <w:rPr>
          <w:rFonts w:ascii="Times New Roman" w:eastAsia="Times New Roman" w:hAnsi="Times New Roman" w:cs="Times New Roman"/>
          <w:bCs/>
          <w:color w:val="000000"/>
          <w:sz w:val="24"/>
          <w:szCs w:val="24"/>
        </w:rPr>
        <w:t xml:space="preserve"> governments, or international organisations, </w:t>
      </w:r>
      <w:r w:rsidR="00515A83" w:rsidRPr="0043224D">
        <w:rPr>
          <w:rFonts w:ascii="Times New Roman" w:eastAsia="Times New Roman" w:hAnsi="Times New Roman" w:cs="Times New Roman"/>
          <w:bCs/>
          <w:color w:val="000000"/>
          <w:sz w:val="24"/>
          <w:szCs w:val="24"/>
        </w:rPr>
        <w:t>an all-encompassing description has</w:t>
      </w:r>
      <w:r w:rsidRPr="0043224D">
        <w:rPr>
          <w:rFonts w:ascii="Times New Roman" w:eastAsia="Times New Roman" w:hAnsi="Times New Roman" w:cs="Times New Roman"/>
          <w:bCs/>
          <w:color w:val="000000"/>
          <w:sz w:val="24"/>
          <w:szCs w:val="24"/>
        </w:rPr>
        <w:t xml:space="preserve"> </w:t>
      </w:r>
      <w:r w:rsidR="00B7575C" w:rsidRPr="0043224D">
        <w:rPr>
          <w:rFonts w:ascii="Times New Roman" w:eastAsia="Times New Roman" w:hAnsi="Times New Roman" w:cs="Times New Roman"/>
          <w:bCs/>
          <w:color w:val="000000"/>
          <w:sz w:val="24"/>
          <w:szCs w:val="24"/>
        </w:rPr>
        <w:t xml:space="preserve">proven </w:t>
      </w:r>
      <w:r w:rsidRPr="0043224D">
        <w:rPr>
          <w:rFonts w:ascii="Times New Roman" w:eastAsia="Times New Roman" w:hAnsi="Times New Roman" w:cs="Times New Roman"/>
          <w:bCs/>
          <w:color w:val="000000"/>
          <w:sz w:val="24"/>
          <w:szCs w:val="24"/>
        </w:rPr>
        <w:t>difficult to</w:t>
      </w:r>
      <w:r w:rsidR="00515A83" w:rsidRPr="0043224D">
        <w:rPr>
          <w:rFonts w:ascii="Times New Roman" w:eastAsia="Times New Roman" w:hAnsi="Times New Roman" w:cs="Times New Roman"/>
          <w:bCs/>
          <w:color w:val="000000"/>
          <w:sz w:val="24"/>
          <w:szCs w:val="24"/>
        </w:rPr>
        <w:t xml:space="preserve"> accurately </w:t>
      </w:r>
      <w:r w:rsidR="002F174E" w:rsidRPr="0043224D">
        <w:rPr>
          <w:rFonts w:ascii="Times New Roman" w:eastAsia="Times New Roman" w:hAnsi="Times New Roman" w:cs="Times New Roman"/>
          <w:bCs/>
          <w:color w:val="000000"/>
          <w:sz w:val="24"/>
          <w:szCs w:val="24"/>
        </w:rPr>
        <w:t>determine.</w:t>
      </w:r>
      <w:r w:rsidR="00515A83" w:rsidRPr="0043224D">
        <w:rPr>
          <w:rFonts w:ascii="Times New Roman" w:eastAsia="Times New Roman" w:hAnsi="Times New Roman" w:cs="Times New Roman"/>
          <w:bCs/>
          <w:color w:val="000000"/>
          <w:sz w:val="24"/>
          <w:szCs w:val="24"/>
        </w:rPr>
        <w:t xml:space="preserve"> </w:t>
      </w:r>
      <w:r w:rsidR="002F174E" w:rsidRPr="0043224D">
        <w:rPr>
          <w:rFonts w:ascii="Times New Roman" w:eastAsia="Times New Roman" w:hAnsi="Times New Roman" w:cs="Times New Roman"/>
          <w:bCs/>
          <w:color w:val="000000"/>
          <w:sz w:val="24"/>
          <w:szCs w:val="24"/>
        </w:rPr>
        <w:t>Largely</w:t>
      </w:r>
      <w:r w:rsidR="00E231B2" w:rsidRPr="0043224D">
        <w:rPr>
          <w:rFonts w:ascii="Times New Roman" w:eastAsia="Times New Roman" w:hAnsi="Times New Roman" w:cs="Times New Roman"/>
          <w:bCs/>
          <w:color w:val="000000"/>
          <w:sz w:val="24"/>
          <w:szCs w:val="24"/>
        </w:rPr>
        <w:t xml:space="preserve"> this</w:t>
      </w:r>
      <w:r w:rsidR="001C0F99" w:rsidRPr="0043224D">
        <w:rPr>
          <w:rFonts w:ascii="Times New Roman" w:eastAsia="Times New Roman" w:hAnsi="Times New Roman" w:cs="Times New Roman"/>
          <w:bCs/>
          <w:color w:val="000000"/>
          <w:sz w:val="24"/>
          <w:szCs w:val="24"/>
        </w:rPr>
        <w:t xml:space="preserve"> </w:t>
      </w:r>
      <w:r w:rsidR="0031114A" w:rsidRPr="0043224D">
        <w:rPr>
          <w:rFonts w:ascii="Times New Roman" w:eastAsia="Times New Roman" w:hAnsi="Times New Roman" w:cs="Times New Roman"/>
          <w:bCs/>
          <w:color w:val="000000"/>
          <w:sz w:val="24"/>
          <w:szCs w:val="24"/>
        </w:rPr>
        <w:t>is</w:t>
      </w:r>
      <w:r w:rsidR="001C0F99" w:rsidRPr="0043224D">
        <w:rPr>
          <w:rFonts w:ascii="Times New Roman" w:eastAsia="Times New Roman" w:hAnsi="Times New Roman" w:cs="Times New Roman"/>
          <w:bCs/>
          <w:color w:val="000000"/>
          <w:sz w:val="24"/>
          <w:szCs w:val="24"/>
        </w:rPr>
        <w:t xml:space="preserve"> </w:t>
      </w:r>
      <w:r w:rsidR="00515A83" w:rsidRPr="0043224D">
        <w:rPr>
          <w:rFonts w:ascii="Times New Roman" w:eastAsia="Times New Roman" w:hAnsi="Times New Roman" w:cs="Times New Roman"/>
          <w:bCs/>
          <w:color w:val="000000"/>
          <w:sz w:val="24"/>
          <w:szCs w:val="24"/>
        </w:rPr>
        <w:t>due to the historical legacy of imperialism and colonialism</w:t>
      </w:r>
      <w:r w:rsidR="002F174E" w:rsidRPr="0043224D">
        <w:rPr>
          <w:rFonts w:ascii="Times New Roman" w:eastAsia="Times New Roman" w:hAnsi="Times New Roman" w:cs="Times New Roman"/>
          <w:bCs/>
          <w:color w:val="000000"/>
          <w:sz w:val="24"/>
          <w:szCs w:val="24"/>
        </w:rPr>
        <w:t>, a legacy which the vast majority of indigenous peoples unfortunately share.</w:t>
      </w:r>
      <w:r w:rsidR="001E0B96" w:rsidRPr="0043224D">
        <w:rPr>
          <w:rStyle w:val="FootnoteReference"/>
          <w:rFonts w:ascii="Times New Roman" w:eastAsia="Times New Roman" w:hAnsi="Times New Roman" w:cs="Times New Roman"/>
          <w:bCs/>
          <w:color w:val="000000"/>
          <w:sz w:val="24"/>
          <w:szCs w:val="24"/>
        </w:rPr>
        <w:footnoteReference w:id="23"/>
      </w:r>
      <w:r w:rsidR="005A6774" w:rsidRPr="0043224D">
        <w:rPr>
          <w:rFonts w:ascii="Times New Roman" w:eastAsia="Times New Roman" w:hAnsi="Times New Roman" w:cs="Times New Roman"/>
          <w:bCs/>
          <w:color w:val="000000"/>
          <w:sz w:val="24"/>
          <w:szCs w:val="24"/>
        </w:rPr>
        <w:t xml:space="preserve"> There is good reason for the</w:t>
      </w:r>
      <w:r w:rsidR="001C0F99" w:rsidRPr="0043224D">
        <w:rPr>
          <w:rFonts w:ascii="Times New Roman" w:eastAsia="Times New Roman" w:hAnsi="Times New Roman" w:cs="Times New Roman"/>
          <w:bCs/>
          <w:color w:val="000000"/>
          <w:sz w:val="24"/>
          <w:szCs w:val="24"/>
        </w:rPr>
        <w:t xml:space="preserve"> reticence and ambivalence of</w:t>
      </w:r>
      <w:r w:rsidR="00515A83" w:rsidRPr="0043224D">
        <w:rPr>
          <w:rFonts w:ascii="Times New Roman" w:eastAsia="Times New Roman" w:hAnsi="Times New Roman" w:cs="Times New Roman"/>
          <w:bCs/>
          <w:color w:val="000000"/>
          <w:sz w:val="24"/>
          <w:szCs w:val="24"/>
        </w:rPr>
        <w:t xml:space="preserve"> </w:t>
      </w:r>
      <w:r w:rsidR="001C0F99" w:rsidRPr="0043224D">
        <w:rPr>
          <w:rFonts w:ascii="Times New Roman" w:eastAsia="Times New Roman" w:hAnsi="Times New Roman" w:cs="Times New Roman"/>
          <w:bCs/>
          <w:color w:val="000000"/>
          <w:sz w:val="24"/>
          <w:szCs w:val="24"/>
        </w:rPr>
        <w:t>indigenous</w:t>
      </w:r>
      <w:r w:rsidR="00580AB5" w:rsidRPr="0043224D">
        <w:rPr>
          <w:rFonts w:ascii="Times New Roman" w:eastAsia="Times New Roman" w:hAnsi="Times New Roman" w:cs="Times New Roman"/>
          <w:bCs/>
          <w:color w:val="000000"/>
          <w:sz w:val="24"/>
          <w:szCs w:val="24"/>
        </w:rPr>
        <w:t xml:space="preserve"> peoples </w:t>
      </w:r>
      <w:r w:rsidR="00515A83" w:rsidRPr="0043224D">
        <w:rPr>
          <w:rFonts w:ascii="Times New Roman" w:eastAsia="Times New Roman" w:hAnsi="Times New Roman" w:cs="Times New Roman"/>
          <w:bCs/>
          <w:color w:val="000000"/>
          <w:sz w:val="24"/>
          <w:szCs w:val="24"/>
        </w:rPr>
        <w:t xml:space="preserve">in </w:t>
      </w:r>
      <w:r w:rsidR="00E231B2" w:rsidRPr="0043224D">
        <w:rPr>
          <w:rFonts w:ascii="Times New Roman" w:eastAsia="Times New Roman" w:hAnsi="Times New Roman" w:cs="Times New Roman"/>
          <w:bCs/>
          <w:color w:val="000000"/>
          <w:sz w:val="24"/>
          <w:szCs w:val="24"/>
        </w:rPr>
        <w:t xml:space="preserve">consenting to </w:t>
      </w:r>
      <w:r w:rsidR="00515A83" w:rsidRPr="0043224D">
        <w:rPr>
          <w:rFonts w:ascii="Times New Roman" w:eastAsia="Times New Roman" w:hAnsi="Times New Roman" w:cs="Times New Roman"/>
          <w:bCs/>
          <w:color w:val="000000"/>
          <w:sz w:val="24"/>
          <w:szCs w:val="24"/>
        </w:rPr>
        <w:t>a</w:t>
      </w:r>
      <w:r w:rsidR="00213BFA" w:rsidRPr="0043224D">
        <w:rPr>
          <w:rFonts w:ascii="Times New Roman" w:eastAsia="Times New Roman" w:hAnsi="Times New Roman" w:cs="Times New Roman"/>
          <w:bCs/>
          <w:color w:val="000000"/>
          <w:sz w:val="24"/>
          <w:szCs w:val="24"/>
        </w:rPr>
        <w:t>n all-encompassing</w:t>
      </w:r>
      <w:r w:rsidR="00515A83" w:rsidRPr="0043224D">
        <w:rPr>
          <w:rFonts w:ascii="Times New Roman" w:eastAsia="Times New Roman" w:hAnsi="Times New Roman" w:cs="Times New Roman"/>
          <w:bCs/>
          <w:color w:val="000000"/>
          <w:sz w:val="24"/>
          <w:szCs w:val="24"/>
        </w:rPr>
        <w:t xml:space="preserve"> definition</w:t>
      </w:r>
      <w:r w:rsidR="00E231B2" w:rsidRPr="0043224D">
        <w:rPr>
          <w:rFonts w:ascii="Times New Roman" w:eastAsia="Times New Roman" w:hAnsi="Times New Roman" w:cs="Times New Roman"/>
          <w:bCs/>
          <w:color w:val="000000"/>
          <w:sz w:val="24"/>
          <w:szCs w:val="24"/>
        </w:rPr>
        <w:t xml:space="preserve">, particularly in the context of their problematic relationship with the modern </w:t>
      </w:r>
      <w:r w:rsidR="00DD3D96" w:rsidRPr="0043224D">
        <w:rPr>
          <w:rFonts w:ascii="Times New Roman" w:eastAsia="Times New Roman" w:hAnsi="Times New Roman" w:cs="Times New Roman"/>
          <w:bCs/>
          <w:color w:val="000000"/>
          <w:sz w:val="24"/>
          <w:szCs w:val="24"/>
        </w:rPr>
        <w:t>nation-state</w:t>
      </w:r>
      <w:r w:rsidR="002F174E" w:rsidRPr="0043224D">
        <w:rPr>
          <w:rFonts w:ascii="Times New Roman" w:eastAsia="Times New Roman" w:hAnsi="Times New Roman" w:cs="Times New Roman"/>
          <w:bCs/>
          <w:color w:val="000000"/>
          <w:sz w:val="24"/>
          <w:szCs w:val="24"/>
        </w:rPr>
        <w:t>.</w:t>
      </w:r>
      <w:r w:rsidR="00C45CE3" w:rsidRPr="0043224D">
        <w:rPr>
          <w:rFonts w:ascii="Times New Roman" w:eastAsia="Times New Roman" w:hAnsi="Times New Roman" w:cs="Times New Roman"/>
          <w:bCs/>
          <w:color w:val="000000"/>
          <w:sz w:val="24"/>
          <w:szCs w:val="24"/>
        </w:rPr>
        <w:t xml:space="preserve"> Slavery and genocide were</w:t>
      </w:r>
      <w:r w:rsidR="00580AB5" w:rsidRPr="0043224D">
        <w:rPr>
          <w:rFonts w:ascii="Times New Roman" w:eastAsia="Times New Roman" w:hAnsi="Times New Roman" w:cs="Times New Roman"/>
          <w:bCs/>
          <w:color w:val="000000"/>
          <w:sz w:val="24"/>
          <w:szCs w:val="24"/>
        </w:rPr>
        <w:t xml:space="preserve"> fundamental</w:t>
      </w:r>
      <w:r w:rsidR="00C45CE3" w:rsidRPr="0043224D">
        <w:rPr>
          <w:rFonts w:ascii="Times New Roman" w:eastAsia="Times New Roman" w:hAnsi="Times New Roman" w:cs="Times New Roman"/>
          <w:bCs/>
          <w:color w:val="000000"/>
          <w:sz w:val="24"/>
          <w:szCs w:val="24"/>
        </w:rPr>
        <w:t xml:space="preserve"> </w:t>
      </w:r>
      <w:r w:rsidR="00580AB5" w:rsidRPr="0043224D">
        <w:rPr>
          <w:rFonts w:ascii="Times New Roman" w:eastAsia="Times New Roman" w:hAnsi="Times New Roman" w:cs="Times New Roman"/>
          <w:bCs/>
          <w:color w:val="000000"/>
          <w:sz w:val="24"/>
          <w:szCs w:val="24"/>
        </w:rPr>
        <w:t>to the</w:t>
      </w:r>
      <w:r w:rsidR="00C45CE3" w:rsidRPr="0043224D">
        <w:rPr>
          <w:rFonts w:ascii="Times New Roman" w:eastAsia="Times New Roman" w:hAnsi="Times New Roman" w:cs="Times New Roman"/>
          <w:bCs/>
          <w:color w:val="000000"/>
          <w:sz w:val="24"/>
          <w:szCs w:val="24"/>
        </w:rPr>
        <w:t xml:space="preserve"> </w:t>
      </w:r>
      <w:r w:rsidR="00580AB5" w:rsidRPr="0043224D">
        <w:rPr>
          <w:rFonts w:ascii="Times New Roman" w:eastAsia="Times New Roman" w:hAnsi="Times New Roman" w:cs="Times New Roman"/>
          <w:bCs/>
          <w:color w:val="000000"/>
          <w:sz w:val="24"/>
          <w:szCs w:val="24"/>
        </w:rPr>
        <w:t>imperi</w:t>
      </w:r>
      <w:r w:rsidR="00515A83" w:rsidRPr="0043224D">
        <w:rPr>
          <w:rFonts w:ascii="Times New Roman" w:eastAsia="Times New Roman" w:hAnsi="Times New Roman" w:cs="Times New Roman"/>
          <w:bCs/>
          <w:color w:val="000000"/>
          <w:sz w:val="24"/>
          <w:szCs w:val="24"/>
        </w:rPr>
        <w:t xml:space="preserve">al expansion of European powers into </w:t>
      </w:r>
      <w:r w:rsidR="00392364" w:rsidRPr="0043224D">
        <w:rPr>
          <w:rFonts w:ascii="Times New Roman" w:eastAsia="Times New Roman" w:hAnsi="Times New Roman" w:cs="Times New Roman"/>
          <w:bCs/>
          <w:color w:val="000000"/>
          <w:sz w:val="24"/>
          <w:szCs w:val="24"/>
        </w:rPr>
        <w:t>indigenous people’s lands. As</w:t>
      </w:r>
      <w:r w:rsidR="00B26149" w:rsidRPr="0043224D">
        <w:rPr>
          <w:rFonts w:ascii="Times New Roman" w:eastAsia="Times New Roman" w:hAnsi="Times New Roman" w:cs="Times New Roman"/>
          <w:bCs/>
          <w:color w:val="000000"/>
          <w:sz w:val="24"/>
          <w:szCs w:val="24"/>
        </w:rPr>
        <w:t xml:space="preserve"> a consequence</w:t>
      </w:r>
      <w:r w:rsidR="006D12F6" w:rsidRPr="0043224D">
        <w:rPr>
          <w:rFonts w:ascii="Times New Roman" w:eastAsia="Times New Roman" w:hAnsi="Times New Roman" w:cs="Times New Roman"/>
          <w:bCs/>
          <w:color w:val="000000"/>
          <w:sz w:val="24"/>
          <w:szCs w:val="24"/>
        </w:rPr>
        <w:t xml:space="preserve"> of this troubled legacy</w:t>
      </w:r>
      <w:r w:rsidR="00B26149" w:rsidRPr="0043224D">
        <w:rPr>
          <w:rFonts w:ascii="Times New Roman" w:eastAsia="Times New Roman" w:hAnsi="Times New Roman" w:cs="Times New Roman"/>
          <w:bCs/>
          <w:color w:val="000000"/>
          <w:sz w:val="24"/>
          <w:szCs w:val="24"/>
        </w:rPr>
        <w:t>, indigenous peoples have been victims of systematic violations of their human rights</w:t>
      </w:r>
      <w:r w:rsidR="00515A83" w:rsidRPr="0043224D">
        <w:rPr>
          <w:rFonts w:ascii="Times New Roman" w:eastAsia="Times New Roman" w:hAnsi="Times New Roman" w:cs="Times New Roman"/>
          <w:bCs/>
          <w:color w:val="000000"/>
          <w:sz w:val="24"/>
          <w:szCs w:val="24"/>
        </w:rPr>
        <w:t xml:space="preserve"> ever since</w:t>
      </w:r>
      <w:r w:rsidR="00B26149" w:rsidRPr="0043224D">
        <w:rPr>
          <w:rFonts w:ascii="Times New Roman" w:eastAsia="Times New Roman" w:hAnsi="Times New Roman" w:cs="Times New Roman"/>
          <w:bCs/>
          <w:color w:val="000000"/>
          <w:sz w:val="24"/>
          <w:szCs w:val="24"/>
        </w:rPr>
        <w:t>.</w:t>
      </w:r>
      <w:r w:rsidR="001C0F99" w:rsidRPr="0043224D">
        <w:rPr>
          <w:rStyle w:val="FootnoteReference"/>
          <w:rFonts w:ascii="Times New Roman" w:eastAsia="Times New Roman" w:hAnsi="Times New Roman" w:cs="Times New Roman"/>
          <w:bCs/>
          <w:color w:val="000000"/>
          <w:sz w:val="24"/>
          <w:szCs w:val="24"/>
        </w:rPr>
        <w:footnoteReference w:id="24"/>
      </w:r>
      <w:r w:rsidR="00B26149" w:rsidRPr="0043224D">
        <w:rPr>
          <w:rFonts w:ascii="Times New Roman" w:eastAsia="Times New Roman" w:hAnsi="Times New Roman" w:cs="Times New Roman"/>
          <w:bCs/>
          <w:color w:val="000000"/>
          <w:sz w:val="24"/>
          <w:szCs w:val="24"/>
        </w:rPr>
        <w:t xml:space="preserve"> </w:t>
      </w:r>
      <w:r w:rsidR="00213BFA" w:rsidRPr="0043224D">
        <w:rPr>
          <w:rFonts w:ascii="Times New Roman" w:eastAsia="Times New Roman" w:hAnsi="Times New Roman" w:cs="Times New Roman"/>
          <w:bCs/>
          <w:color w:val="000000"/>
          <w:sz w:val="24"/>
          <w:szCs w:val="24"/>
        </w:rPr>
        <w:t>The desire</w:t>
      </w:r>
      <w:r w:rsidR="006D12F6" w:rsidRPr="0043224D">
        <w:rPr>
          <w:rFonts w:ascii="Times New Roman" w:eastAsia="Times New Roman" w:hAnsi="Times New Roman" w:cs="Times New Roman"/>
          <w:bCs/>
          <w:color w:val="000000"/>
          <w:sz w:val="24"/>
          <w:szCs w:val="24"/>
        </w:rPr>
        <w:t xml:space="preserve"> on the </w:t>
      </w:r>
      <w:r w:rsidR="002F174E" w:rsidRPr="0043224D">
        <w:rPr>
          <w:rFonts w:ascii="Times New Roman" w:eastAsia="Times New Roman" w:hAnsi="Times New Roman" w:cs="Times New Roman"/>
          <w:bCs/>
          <w:color w:val="000000"/>
          <w:sz w:val="24"/>
          <w:szCs w:val="24"/>
        </w:rPr>
        <w:t>part</w:t>
      </w:r>
      <w:r w:rsidR="00213BFA" w:rsidRPr="0043224D">
        <w:rPr>
          <w:rFonts w:ascii="Times New Roman" w:eastAsia="Times New Roman" w:hAnsi="Times New Roman" w:cs="Times New Roman"/>
          <w:bCs/>
          <w:color w:val="000000"/>
          <w:sz w:val="24"/>
          <w:szCs w:val="24"/>
        </w:rPr>
        <w:t xml:space="preserve"> </w:t>
      </w:r>
      <w:r w:rsidR="006D12F6" w:rsidRPr="0043224D">
        <w:rPr>
          <w:rFonts w:ascii="Times New Roman" w:eastAsia="Times New Roman" w:hAnsi="Times New Roman" w:cs="Times New Roman"/>
          <w:bCs/>
          <w:color w:val="000000"/>
          <w:sz w:val="24"/>
          <w:szCs w:val="24"/>
        </w:rPr>
        <w:t xml:space="preserve">of indigenous peoples </w:t>
      </w:r>
      <w:r w:rsidR="00213BFA" w:rsidRPr="0043224D">
        <w:rPr>
          <w:rFonts w:ascii="Times New Roman" w:eastAsia="Times New Roman" w:hAnsi="Times New Roman" w:cs="Times New Roman"/>
          <w:bCs/>
          <w:color w:val="000000"/>
          <w:sz w:val="24"/>
          <w:szCs w:val="24"/>
        </w:rPr>
        <w:t>to resist “cultural homog</w:t>
      </w:r>
      <w:r w:rsidR="0013341D" w:rsidRPr="0043224D">
        <w:rPr>
          <w:rFonts w:ascii="Times New Roman" w:eastAsia="Times New Roman" w:hAnsi="Times New Roman" w:cs="Times New Roman"/>
          <w:bCs/>
          <w:color w:val="000000"/>
          <w:sz w:val="24"/>
          <w:szCs w:val="24"/>
        </w:rPr>
        <w:t>enisation” as</w:t>
      </w:r>
      <w:r w:rsidR="00392364" w:rsidRPr="0043224D">
        <w:rPr>
          <w:rFonts w:ascii="Times New Roman" w:eastAsia="Times New Roman" w:hAnsi="Times New Roman" w:cs="Times New Roman"/>
          <w:bCs/>
          <w:color w:val="000000"/>
          <w:sz w:val="24"/>
          <w:szCs w:val="24"/>
        </w:rPr>
        <w:t xml:space="preserve"> a single grouping</w:t>
      </w:r>
      <w:r w:rsidR="00294672" w:rsidRPr="0043224D">
        <w:rPr>
          <w:rFonts w:ascii="Times New Roman" w:eastAsia="Times New Roman" w:hAnsi="Times New Roman" w:cs="Times New Roman"/>
          <w:bCs/>
          <w:color w:val="000000"/>
          <w:sz w:val="24"/>
          <w:szCs w:val="24"/>
        </w:rPr>
        <w:t>,</w:t>
      </w:r>
      <w:r w:rsidR="00392364" w:rsidRPr="0043224D">
        <w:rPr>
          <w:rFonts w:ascii="Times New Roman" w:eastAsia="Times New Roman" w:hAnsi="Times New Roman" w:cs="Times New Roman"/>
          <w:bCs/>
          <w:color w:val="000000"/>
          <w:sz w:val="24"/>
          <w:szCs w:val="24"/>
        </w:rPr>
        <w:t xml:space="preserve"> </w:t>
      </w:r>
      <w:r w:rsidR="00294672" w:rsidRPr="0043224D">
        <w:rPr>
          <w:rFonts w:ascii="Times New Roman" w:eastAsia="Times New Roman" w:hAnsi="Times New Roman" w:cs="Times New Roman"/>
          <w:bCs/>
          <w:color w:val="000000"/>
          <w:sz w:val="24"/>
          <w:szCs w:val="24"/>
        </w:rPr>
        <w:t xml:space="preserve">however well-meaning </w:t>
      </w:r>
      <w:r w:rsidR="0013341D" w:rsidRPr="0043224D">
        <w:rPr>
          <w:rFonts w:ascii="Times New Roman" w:eastAsia="Times New Roman" w:hAnsi="Times New Roman" w:cs="Times New Roman"/>
          <w:bCs/>
          <w:color w:val="000000"/>
          <w:sz w:val="24"/>
          <w:szCs w:val="24"/>
        </w:rPr>
        <w:t>whether on the nat</w:t>
      </w:r>
      <w:r w:rsidR="00294672" w:rsidRPr="0043224D">
        <w:rPr>
          <w:rFonts w:ascii="Times New Roman" w:eastAsia="Times New Roman" w:hAnsi="Times New Roman" w:cs="Times New Roman"/>
          <w:bCs/>
          <w:color w:val="000000"/>
          <w:sz w:val="24"/>
          <w:szCs w:val="24"/>
        </w:rPr>
        <w:t>ional, regional or global level</w:t>
      </w:r>
      <w:r w:rsidR="00213BFA" w:rsidRPr="0043224D">
        <w:rPr>
          <w:rFonts w:ascii="Times New Roman" w:eastAsia="Times New Roman" w:hAnsi="Times New Roman" w:cs="Times New Roman"/>
          <w:bCs/>
          <w:color w:val="000000"/>
          <w:sz w:val="24"/>
          <w:szCs w:val="24"/>
        </w:rPr>
        <w:t xml:space="preserve">, and from </w:t>
      </w:r>
      <w:r w:rsidR="0013341D" w:rsidRPr="0043224D">
        <w:rPr>
          <w:rFonts w:ascii="Times New Roman" w:eastAsia="Times New Roman" w:hAnsi="Times New Roman" w:cs="Times New Roman"/>
          <w:bCs/>
          <w:color w:val="000000"/>
          <w:sz w:val="24"/>
          <w:szCs w:val="24"/>
        </w:rPr>
        <w:t>whichever</w:t>
      </w:r>
      <w:r w:rsidR="00392364" w:rsidRPr="0043224D">
        <w:rPr>
          <w:rFonts w:ascii="Times New Roman" w:eastAsia="Times New Roman" w:hAnsi="Times New Roman" w:cs="Times New Roman"/>
          <w:bCs/>
          <w:color w:val="000000"/>
          <w:sz w:val="24"/>
          <w:szCs w:val="24"/>
        </w:rPr>
        <w:t xml:space="preserve"> source</w:t>
      </w:r>
      <w:r w:rsidR="00294672" w:rsidRPr="0043224D">
        <w:rPr>
          <w:rFonts w:ascii="Times New Roman" w:eastAsia="Times New Roman" w:hAnsi="Times New Roman" w:cs="Times New Roman"/>
          <w:bCs/>
          <w:color w:val="000000"/>
          <w:sz w:val="24"/>
          <w:szCs w:val="24"/>
        </w:rPr>
        <w:t>, is</w:t>
      </w:r>
      <w:r w:rsidR="00213BFA" w:rsidRPr="0043224D">
        <w:rPr>
          <w:rFonts w:ascii="Times New Roman" w:eastAsia="Times New Roman" w:hAnsi="Times New Roman" w:cs="Times New Roman"/>
          <w:bCs/>
          <w:color w:val="000000"/>
          <w:sz w:val="24"/>
          <w:szCs w:val="24"/>
        </w:rPr>
        <w:t xml:space="preserve"> </w:t>
      </w:r>
      <w:r w:rsidR="004309FB" w:rsidRPr="0043224D">
        <w:rPr>
          <w:rFonts w:ascii="Times New Roman" w:eastAsia="Times New Roman" w:hAnsi="Times New Roman" w:cs="Times New Roman"/>
          <w:bCs/>
          <w:color w:val="000000"/>
          <w:sz w:val="24"/>
          <w:szCs w:val="24"/>
        </w:rPr>
        <w:t xml:space="preserve">principally </w:t>
      </w:r>
      <w:r w:rsidR="00213BFA" w:rsidRPr="0043224D">
        <w:rPr>
          <w:rFonts w:ascii="Times New Roman" w:eastAsia="Times New Roman" w:hAnsi="Times New Roman" w:cs="Times New Roman"/>
          <w:bCs/>
          <w:color w:val="000000"/>
          <w:sz w:val="24"/>
          <w:szCs w:val="24"/>
        </w:rPr>
        <w:t>borne from these historical facts.</w:t>
      </w:r>
      <w:r w:rsidR="002F174E" w:rsidRPr="0043224D">
        <w:rPr>
          <w:rFonts w:ascii="Times New Roman" w:eastAsia="Times New Roman" w:hAnsi="Times New Roman" w:cs="Times New Roman"/>
          <w:bCs/>
          <w:color w:val="000000"/>
          <w:sz w:val="24"/>
          <w:szCs w:val="24"/>
        </w:rPr>
        <w:t xml:space="preserve"> </w:t>
      </w:r>
      <w:r w:rsidR="0013341D" w:rsidRPr="0043224D">
        <w:rPr>
          <w:rFonts w:ascii="Times New Roman" w:eastAsia="Times New Roman" w:hAnsi="Times New Roman" w:cs="Times New Roman"/>
          <w:bCs/>
          <w:color w:val="000000"/>
          <w:sz w:val="24"/>
          <w:szCs w:val="24"/>
        </w:rPr>
        <w:t>Although as a matter of legal</w:t>
      </w:r>
      <w:r w:rsidR="000E0F3E" w:rsidRPr="0043224D">
        <w:rPr>
          <w:rFonts w:ascii="Times New Roman" w:eastAsia="Times New Roman" w:hAnsi="Times New Roman" w:cs="Times New Roman"/>
          <w:bCs/>
          <w:color w:val="000000"/>
          <w:sz w:val="24"/>
          <w:szCs w:val="24"/>
        </w:rPr>
        <w:t>,</w:t>
      </w:r>
      <w:r w:rsidR="004309FB" w:rsidRPr="0043224D">
        <w:rPr>
          <w:rFonts w:ascii="Times New Roman" w:eastAsia="Times New Roman" w:hAnsi="Times New Roman" w:cs="Times New Roman"/>
          <w:bCs/>
          <w:color w:val="000000"/>
          <w:sz w:val="24"/>
          <w:szCs w:val="24"/>
        </w:rPr>
        <w:t xml:space="preserve"> legislative</w:t>
      </w:r>
      <w:r w:rsidR="0013341D" w:rsidRPr="0043224D">
        <w:rPr>
          <w:rFonts w:ascii="Times New Roman" w:eastAsia="Times New Roman" w:hAnsi="Times New Roman" w:cs="Times New Roman"/>
          <w:bCs/>
          <w:color w:val="000000"/>
          <w:sz w:val="24"/>
          <w:szCs w:val="24"/>
        </w:rPr>
        <w:t xml:space="preserve"> and</w:t>
      </w:r>
      <w:r w:rsidR="004309FB" w:rsidRPr="0043224D">
        <w:rPr>
          <w:rFonts w:ascii="Times New Roman" w:eastAsia="Times New Roman" w:hAnsi="Times New Roman" w:cs="Times New Roman"/>
          <w:bCs/>
          <w:color w:val="000000"/>
          <w:sz w:val="24"/>
          <w:szCs w:val="24"/>
        </w:rPr>
        <w:t xml:space="preserve"> frequently </w:t>
      </w:r>
      <w:r w:rsidR="0013341D" w:rsidRPr="0043224D">
        <w:rPr>
          <w:rFonts w:ascii="Times New Roman" w:eastAsia="Times New Roman" w:hAnsi="Times New Roman" w:cs="Times New Roman"/>
          <w:bCs/>
          <w:color w:val="000000"/>
          <w:sz w:val="24"/>
          <w:szCs w:val="24"/>
        </w:rPr>
        <w:t>practical necessity</w:t>
      </w:r>
      <w:r w:rsidR="004309FB" w:rsidRPr="0043224D">
        <w:rPr>
          <w:rFonts w:ascii="Times New Roman" w:eastAsia="Times New Roman" w:hAnsi="Times New Roman" w:cs="Times New Roman"/>
          <w:bCs/>
          <w:color w:val="000000"/>
          <w:sz w:val="24"/>
          <w:szCs w:val="24"/>
        </w:rPr>
        <w:t>,</w:t>
      </w:r>
      <w:r w:rsidR="0013341D" w:rsidRPr="0043224D">
        <w:rPr>
          <w:rFonts w:ascii="Times New Roman" w:eastAsia="Times New Roman" w:hAnsi="Times New Roman" w:cs="Times New Roman"/>
          <w:bCs/>
          <w:color w:val="000000"/>
          <w:sz w:val="24"/>
          <w:szCs w:val="24"/>
        </w:rPr>
        <w:t xml:space="preserve"> the need for the state to define</w:t>
      </w:r>
      <w:r w:rsidR="000E0F3E" w:rsidRPr="0043224D">
        <w:rPr>
          <w:rFonts w:ascii="Times New Roman" w:eastAsia="Times New Roman" w:hAnsi="Times New Roman" w:cs="Times New Roman"/>
          <w:bCs/>
          <w:color w:val="000000"/>
          <w:sz w:val="24"/>
          <w:szCs w:val="24"/>
        </w:rPr>
        <w:t xml:space="preserve"> essentially disparate</w:t>
      </w:r>
      <w:r w:rsidR="0013341D" w:rsidRPr="0043224D">
        <w:rPr>
          <w:rFonts w:ascii="Times New Roman" w:eastAsia="Times New Roman" w:hAnsi="Times New Roman" w:cs="Times New Roman"/>
          <w:bCs/>
          <w:color w:val="000000"/>
          <w:sz w:val="24"/>
          <w:szCs w:val="24"/>
        </w:rPr>
        <w:t xml:space="preserve"> </w:t>
      </w:r>
      <w:r w:rsidR="000E0F3E" w:rsidRPr="0043224D">
        <w:rPr>
          <w:rFonts w:ascii="Times New Roman" w:eastAsia="Times New Roman" w:hAnsi="Times New Roman" w:cs="Times New Roman"/>
          <w:bCs/>
          <w:color w:val="000000"/>
          <w:sz w:val="24"/>
          <w:szCs w:val="24"/>
        </w:rPr>
        <w:t>indigenous groups</w:t>
      </w:r>
      <w:r w:rsidR="00244834" w:rsidRPr="0043224D">
        <w:rPr>
          <w:rFonts w:ascii="Times New Roman" w:eastAsia="Times New Roman" w:hAnsi="Times New Roman" w:cs="Times New Roman"/>
          <w:bCs/>
          <w:color w:val="000000"/>
          <w:sz w:val="24"/>
          <w:szCs w:val="24"/>
        </w:rPr>
        <w:t xml:space="preserve"> </w:t>
      </w:r>
      <w:r w:rsidR="000E0F3E" w:rsidRPr="0043224D">
        <w:rPr>
          <w:rFonts w:ascii="Times New Roman" w:eastAsia="Times New Roman" w:hAnsi="Times New Roman" w:cs="Times New Roman"/>
          <w:bCs/>
          <w:color w:val="000000"/>
          <w:sz w:val="24"/>
          <w:szCs w:val="24"/>
        </w:rPr>
        <w:t xml:space="preserve">is understandable for a whole range of </w:t>
      </w:r>
      <w:r w:rsidR="004309FB" w:rsidRPr="0043224D">
        <w:rPr>
          <w:rFonts w:ascii="Times New Roman" w:eastAsia="Times New Roman" w:hAnsi="Times New Roman" w:cs="Times New Roman"/>
          <w:bCs/>
          <w:color w:val="000000"/>
          <w:sz w:val="24"/>
          <w:szCs w:val="24"/>
        </w:rPr>
        <w:t>administrative</w:t>
      </w:r>
      <w:r w:rsidR="00244834" w:rsidRPr="0043224D">
        <w:rPr>
          <w:rFonts w:ascii="Times New Roman" w:eastAsia="Times New Roman" w:hAnsi="Times New Roman" w:cs="Times New Roman"/>
          <w:bCs/>
          <w:color w:val="000000"/>
          <w:sz w:val="24"/>
          <w:szCs w:val="24"/>
        </w:rPr>
        <w:t xml:space="preserve"> and legislative</w:t>
      </w:r>
      <w:r w:rsidR="004309FB" w:rsidRPr="0043224D">
        <w:rPr>
          <w:rFonts w:ascii="Times New Roman" w:eastAsia="Times New Roman" w:hAnsi="Times New Roman" w:cs="Times New Roman"/>
          <w:bCs/>
          <w:color w:val="000000"/>
          <w:sz w:val="24"/>
          <w:szCs w:val="24"/>
        </w:rPr>
        <w:t xml:space="preserve"> </w:t>
      </w:r>
      <w:r w:rsidR="000E0F3E" w:rsidRPr="0043224D">
        <w:rPr>
          <w:rFonts w:ascii="Times New Roman" w:eastAsia="Times New Roman" w:hAnsi="Times New Roman" w:cs="Times New Roman"/>
          <w:bCs/>
          <w:color w:val="000000"/>
          <w:sz w:val="24"/>
          <w:szCs w:val="24"/>
        </w:rPr>
        <w:t>purposes</w:t>
      </w:r>
      <w:r w:rsidR="00244834" w:rsidRPr="0043224D">
        <w:rPr>
          <w:rFonts w:ascii="Times New Roman" w:eastAsia="Times New Roman" w:hAnsi="Times New Roman" w:cs="Times New Roman"/>
          <w:bCs/>
          <w:color w:val="000000"/>
          <w:sz w:val="24"/>
          <w:szCs w:val="24"/>
        </w:rPr>
        <w:t>-the Philippines alone for instance consists of approximately forty distinct indigenous groups</w:t>
      </w:r>
      <w:r w:rsidR="004309FB" w:rsidRPr="0043224D">
        <w:rPr>
          <w:rFonts w:ascii="Times New Roman" w:eastAsia="Times New Roman" w:hAnsi="Times New Roman" w:cs="Times New Roman"/>
          <w:bCs/>
          <w:color w:val="000000"/>
          <w:sz w:val="24"/>
          <w:szCs w:val="24"/>
        </w:rPr>
        <w:t>.</w:t>
      </w:r>
      <w:r w:rsidR="00244834" w:rsidRPr="0043224D">
        <w:rPr>
          <w:rStyle w:val="FootnoteReference"/>
          <w:rFonts w:ascii="Times New Roman" w:eastAsia="Times New Roman" w:hAnsi="Times New Roman" w:cs="Times New Roman"/>
          <w:bCs/>
          <w:color w:val="000000"/>
          <w:sz w:val="24"/>
          <w:szCs w:val="24"/>
        </w:rPr>
        <w:footnoteReference w:id="25"/>
      </w:r>
      <w:r w:rsidR="004309FB" w:rsidRPr="0043224D">
        <w:rPr>
          <w:rFonts w:ascii="Times New Roman" w:eastAsia="Times New Roman" w:hAnsi="Times New Roman" w:cs="Times New Roman"/>
          <w:bCs/>
          <w:color w:val="000000"/>
          <w:sz w:val="24"/>
          <w:szCs w:val="24"/>
        </w:rPr>
        <w:t xml:space="preserve"> </w:t>
      </w:r>
      <w:r w:rsidR="00615034" w:rsidRPr="0043224D">
        <w:rPr>
          <w:rFonts w:ascii="Times New Roman" w:eastAsia="Times New Roman" w:hAnsi="Times New Roman" w:cs="Times New Roman"/>
          <w:bCs/>
          <w:color w:val="000000"/>
          <w:sz w:val="24"/>
          <w:szCs w:val="24"/>
        </w:rPr>
        <w:t>Nevertheless</w:t>
      </w:r>
      <w:r w:rsidR="000E0F3E" w:rsidRPr="0043224D">
        <w:rPr>
          <w:rFonts w:ascii="Times New Roman" w:eastAsia="Times New Roman" w:hAnsi="Times New Roman" w:cs="Times New Roman"/>
          <w:bCs/>
          <w:color w:val="000000"/>
          <w:sz w:val="24"/>
          <w:szCs w:val="24"/>
        </w:rPr>
        <w:t>, on the part of indigenous peoples, the above government</w:t>
      </w:r>
      <w:r w:rsidR="004309FB" w:rsidRPr="0043224D">
        <w:rPr>
          <w:rFonts w:ascii="Times New Roman" w:eastAsia="Times New Roman" w:hAnsi="Times New Roman" w:cs="Times New Roman"/>
          <w:bCs/>
          <w:color w:val="000000"/>
          <w:sz w:val="24"/>
          <w:szCs w:val="24"/>
        </w:rPr>
        <w:t>al</w:t>
      </w:r>
      <w:r w:rsidR="000E0F3E" w:rsidRPr="0043224D">
        <w:rPr>
          <w:rFonts w:ascii="Times New Roman" w:eastAsia="Times New Roman" w:hAnsi="Times New Roman" w:cs="Times New Roman"/>
          <w:bCs/>
          <w:color w:val="000000"/>
          <w:sz w:val="24"/>
          <w:szCs w:val="24"/>
        </w:rPr>
        <w:t xml:space="preserve"> functions have historically</w:t>
      </w:r>
      <w:r w:rsidR="00D27DDF" w:rsidRPr="0043224D">
        <w:rPr>
          <w:rFonts w:ascii="Times New Roman" w:eastAsia="Times New Roman" w:hAnsi="Times New Roman" w:cs="Times New Roman"/>
          <w:bCs/>
          <w:color w:val="000000"/>
          <w:sz w:val="24"/>
          <w:szCs w:val="24"/>
        </w:rPr>
        <w:t xml:space="preserve"> </w:t>
      </w:r>
      <w:r w:rsidR="000E0F3E" w:rsidRPr="0043224D">
        <w:rPr>
          <w:rFonts w:ascii="Times New Roman" w:eastAsia="Times New Roman" w:hAnsi="Times New Roman" w:cs="Times New Roman"/>
          <w:bCs/>
          <w:color w:val="000000"/>
          <w:sz w:val="24"/>
          <w:szCs w:val="24"/>
        </w:rPr>
        <w:t>been associated with</w:t>
      </w:r>
      <w:r w:rsidR="004309FB" w:rsidRPr="0043224D">
        <w:rPr>
          <w:rFonts w:ascii="Times New Roman" w:eastAsia="Times New Roman" w:hAnsi="Times New Roman" w:cs="Times New Roman"/>
          <w:bCs/>
          <w:color w:val="000000"/>
          <w:sz w:val="24"/>
          <w:szCs w:val="24"/>
        </w:rPr>
        <w:t xml:space="preserve"> highly destructive</w:t>
      </w:r>
      <w:r w:rsidR="000E0F3E" w:rsidRPr="0043224D">
        <w:rPr>
          <w:rFonts w:ascii="Times New Roman" w:eastAsia="Times New Roman" w:hAnsi="Times New Roman" w:cs="Times New Roman"/>
          <w:bCs/>
          <w:color w:val="000000"/>
          <w:sz w:val="24"/>
          <w:szCs w:val="24"/>
        </w:rPr>
        <w:t xml:space="preserve"> integrationist and assimilationist policies</w:t>
      </w:r>
      <w:r w:rsidR="004309FB" w:rsidRPr="0043224D">
        <w:rPr>
          <w:rFonts w:ascii="Times New Roman" w:eastAsia="Times New Roman" w:hAnsi="Times New Roman" w:cs="Times New Roman"/>
          <w:bCs/>
          <w:color w:val="000000"/>
          <w:sz w:val="24"/>
          <w:szCs w:val="24"/>
        </w:rPr>
        <w:t xml:space="preserve"> and programmes</w:t>
      </w:r>
      <w:r w:rsidR="000E0F3E" w:rsidRPr="0043224D">
        <w:rPr>
          <w:rFonts w:ascii="Times New Roman" w:eastAsia="Times New Roman" w:hAnsi="Times New Roman" w:cs="Times New Roman"/>
          <w:bCs/>
          <w:color w:val="000000"/>
          <w:sz w:val="24"/>
          <w:szCs w:val="24"/>
        </w:rPr>
        <w:t>. For that reason alone, the legal, political</w:t>
      </w:r>
      <w:r w:rsidR="00392364" w:rsidRPr="0043224D">
        <w:rPr>
          <w:rFonts w:ascii="Times New Roman" w:eastAsia="Times New Roman" w:hAnsi="Times New Roman" w:cs="Times New Roman"/>
          <w:bCs/>
          <w:color w:val="000000"/>
          <w:sz w:val="24"/>
          <w:szCs w:val="24"/>
        </w:rPr>
        <w:t>,</w:t>
      </w:r>
      <w:r w:rsidR="000E0F3E" w:rsidRPr="0043224D">
        <w:rPr>
          <w:rFonts w:ascii="Times New Roman" w:eastAsia="Times New Roman" w:hAnsi="Times New Roman" w:cs="Times New Roman"/>
          <w:bCs/>
          <w:color w:val="000000"/>
          <w:sz w:val="24"/>
          <w:szCs w:val="24"/>
        </w:rPr>
        <w:t xml:space="preserve"> and often cultura</w:t>
      </w:r>
      <w:r w:rsidR="00392364" w:rsidRPr="0043224D">
        <w:rPr>
          <w:rFonts w:ascii="Times New Roman" w:eastAsia="Times New Roman" w:hAnsi="Times New Roman" w:cs="Times New Roman"/>
          <w:bCs/>
          <w:color w:val="000000"/>
          <w:sz w:val="24"/>
          <w:szCs w:val="24"/>
        </w:rPr>
        <w:t>l battle to define indigenousness</w:t>
      </w:r>
      <w:r w:rsidR="000E0F3E" w:rsidRPr="0043224D">
        <w:rPr>
          <w:rFonts w:ascii="Times New Roman" w:eastAsia="Times New Roman" w:hAnsi="Times New Roman" w:cs="Times New Roman"/>
          <w:bCs/>
          <w:color w:val="000000"/>
          <w:sz w:val="24"/>
          <w:szCs w:val="24"/>
        </w:rPr>
        <w:t xml:space="preserve">, whether “externally” by </w:t>
      </w:r>
      <w:r w:rsidR="004309FB" w:rsidRPr="0043224D">
        <w:rPr>
          <w:rFonts w:ascii="Times New Roman" w:eastAsia="Times New Roman" w:hAnsi="Times New Roman" w:cs="Times New Roman"/>
          <w:bCs/>
          <w:color w:val="000000"/>
          <w:sz w:val="24"/>
          <w:szCs w:val="24"/>
        </w:rPr>
        <w:t>government institutions</w:t>
      </w:r>
      <w:r w:rsidR="000E0F3E" w:rsidRPr="0043224D">
        <w:rPr>
          <w:rFonts w:ascii="Times New Roman" w:eastAsia="Times New Roman" w:hAnsi="Times New Roman" w:cs="Times New Roman"/>
          <w:bCs/>
          <w:color w:val="000000"/>
          <w:sz w:val="24"/>
          <w:szCs w:val="24"/>
        </w:rPr>
        <w:t>, or “internally” by the peoples themselves, has</w:t>
      </w:r>
      <w:r w:rsidR="006A416B">
        <w:rPr>
          <w:rFonts w:ascii="Times New Roman" w:eastAsia="Times New Roman" w:hAnsi="Times New Roman" w:cs="Times New Roman"/>
          <w:bCs/>
          <w:color w:val="000000"/>
          <w:sz w:val="24"/>
          <w:szCs w:val="24"/>
        </w:rPr>
        <w:t xml:space="preserve"> often</w:t>
      </w:r>
      <w:r w:rsidR="000E0F3E" w:rsidRPr="0043224D">
        <w:rPr>
          <w:rFonts w:ascii="Times New Roman" w:eastAsia="Times New Roman" w:hAnsi="Times New Roman" w:cs="Times New Roman"/>
          <w:bCs/>
          <w:color w:val="000000"/>
          <w:sz w:val="24"/>
          <w:szCs w:val="24"/>
        </w:rPr>
        <w:t xml:space="preserve"> been a si</w:t>
      </w:r>
      <w:r w:rsidR="006A416B">
        <w:rPr>
          <w:rFonts w:ascii="Times New Roman" w:eastAsia="Times New Roman" w:hAnsi="Times New Roman" w:cs="Times New Roman"/>
          <w:bCs/>
          <w:color w:val="000000"/>
          <w:sz w:val="24"/>
          <w:szCs w:val="24"/>
        </w:rPr>
        <w:t>te</w:t>
      </w:r>
      <w:r w:rsidR="000E0F3E" w:rsidRPr="0043224D">
        <w:rPr>
          <w:rFonts w:ascii="Times New Roman" w:eastAsia="Times New Roman" w:hAnsi="Times New Roman" w:cs="Times New Roman"/>
          <w:bCs/>
          <w:color w:val="000000"/>
          <w:sz w:val="24"/>
          <w:szCs w:val="24"/>
        </w:rPr>
        <w:t xml:space="preserve"> of often bitter contestation</w:t>
      </w:r>
      <w:r w:rsidR="006A416B">
        <w:rPr>
          <w:rFonts w:ascii="Times New Roman" w:eastAsia="Times New Roman" w:hAnsi="Times New Roman" w:cs="Times New Roman"/>
          <w:bCs/>
          <w:color w:val="000000"/>
          <w:sz w:val="24"/>
          <w:szCs w:val="24"/>
        </w:rPr>
        <w:t xml:space="preserve"> and conflict</w:t>
      </w:r>
      <w:r w:rsidR="000E0F3E" w:rsidRPr="0043224D">
        <w:rPr>
          <w:rFonts w:ascii="Times New Roman" w:eastAsia="Times New Roman" w:hAnsi="Times New Roman" w:cs="Times New Roman"/>
          <w:bCs/>
          <w:color w:val="000000"/>
          <w:sz w:val="24"/>
          <w:szCs w:val="24"/>
        </w:rPr>
        <w:t>.</w:t>
      </w:r>
      <w:r w:rsidR="004309FB" w:rsidRPr="0043224D">
        <w:rPr>
          <w:rFonts w:ascii="Times New Roman" w:eastAsia="Times New Roman" w:hAnsi="Times New Roman" w:cs="Times New Roman"/>
          <w:bCs/>
          <w:color w:val="000000"/>
          <w:sz w:val="24"/>
          <w:szCs w:val="24"/>
        </w:rPr>
        <w:t xml:space="preserve"> </w:t>
      </w:r>
      <w:r w:rsidR="000E0F3E" w:rsidRPr="0043224D">
        <w:rPr>
          <w:rFonts w:ascii="Times New Roman" w:eastAsia="Times New Roman" w:hAnsi="Times New Roman" w:cs="Times New Roman"/>
          <w:bCs/>
          <w:color w:val="000000"/>
          <w:sz w:val="24"/>
          <w:szCs w:val="24"/>
        </w:rPr>
        <w:t xml:space="preserve">      </w:t>
      </w:r>
      <w:r w:rsidR="0013341D" w:rsidRPr="0043224D">
        <w:rPr>
          <w:rFonts w:ascii="Times New Roman" w:eastAsia="Times New Roman" w:hAnsi="Times New Roman" w:cs="Times New Roman"/>
          <w:bCs/>
          <w:color w:val="000000"/>
          <w:sz w:val="24"/>
          <w:szCs w:val="24"/>
        </w:rPr>
        <w:t xml:space="preserve"> </w:t>
      </w:r>
      <w:r w:rsidR="00213BFA" w:rsidRPr="0043224D">
        <w:rPr>
          <w:rFonts w:ascii="Times New Roman" w:eastAsia="Times New Roman" w:hAnsi="Times New Roman" w:cs="Times New Roman"/>
          <w:bCs/>
          <w:color w:val="000000"/>
          <w:sz w:val="24"/>
          <w:szCs w:val="24"/>
        </w:rPr>
        <w:t xml:space="preserve">   </w:t>
      </w:r>
      <w:r w:rsidR="001E0B96" w:rsidRPr="0043224D">
        <w:rPr>
          <w:rFonts w:ascii="Times New Roman" w:eastAsia="Times New Roman" w:hAnsi="Times New Roman" w:cs="Times New Roman"/>
          <w:bCs/>
          <w:color w:val="000000"/>
          <w:sz w:val="24"/>
          <w:szCs w:val="24"/>
        </w:rPr>
        <w:t xml:space="preserve"> </w:t>
      </w:r>
      <w:r w:rsidR="000E0F3E" w:rsidRPr="0043224D">
        <w:rPr>
          <w:rFonts w:ascii="Times New Roman" w:eastAsia="Times New Roman" w:hAnsi="Times New Roman" w:cs="Times New Roman"/>
          <w:bCs/>
          <w:color w:val="000000"/>
          <w:sz w:val="24"/>
          <w:szCs w:val="24"/>
        </w:rPr>
        <w:t xml:space="preserve"> </w:t>
      </w:r>
    </w:p>
    <w:p w:rsidR="00421D84" w:rsidRPr="0043224D" w:rsidRDefault="00294672" w:rsidP="00060EEC">
      <w:pPr>
        <w:spacing w:before="100" w:beforeAutospacing="1" w:after="100" w:afterAutospacing="1" w:line="360" w:lineRule="auto"/>
        <w:ind w:firstLine="720"/>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Even the</w:t>
      </w:r>
      <w:r w:rsidR="00F83FBA" w:rsidRPr="0043224D">
        <w:rPr>
          <w:rFonts w:ascii="Times New Roman" w:eastAsia="Times New Roman" w:hAnsi="Times New Roman" w:cs="Times New Roman"/>
          <w:bCs/>
          <w:color w:val="000000"/>
          <w:sz w:val="24"/>
          <w:szCs w:val="24"/>
        </w:rPr>
        <w:t xml:space="preserve"> term “indigenous</w:t>
      </w:r>
      <w:r w:rsidR="00AE6FF4" w:rsidRPr="0043224D">
        <w:rPr>
          <w:rFonts w:ascii="Times New Roman" w:eastAsia="Times New Roman" w:hAnsi="Times New Roman" w:cs="Times New Roman"/>
          <w:bCs/>
          <w:color w:val="000000"/>
          <w:sz w:val="24"/>
          <w:szCs w:val="24"/>
        </w:rPr>
        <w:t>”</w:t>
      </w:r>
      <w:r w:rsidR="00515A83" w:rsidRPr="0043224D">
        <w:rPr>
          <w:rFonts w:ascii="Times New Roman" w:eastAsia="Times New Roman" w:hAnsi="Times New Roman" w:cs="Times New Roman"/>
          <w:bCs/>
          <w:color w:val="000000"/>
          <w:sz w:val="24"/>
          <w:szCs w:val="24"/>
        </w:rPr>
        <w:t xml:space="preserve"> </w:t>
      </w:r>
      <w:r w:rsidR="00AE6FF4" w:rsidRPr="0043224D">
        <w:rPr>
          <w:rFonts w:ascii="Times New Roman" w:eastAsia="Times New Roman" w:hAnsi="Times New Roman" w:cs="Times New Roman"/>
          <w:bCs/>
          <w:color w:val="000000"/>
          <w:sz w:val="24"/>
          <w:szCs w:val="24"/>
        </w:rPr>
        <w:t>has been controversial</w:t>
      </w:r>
      <w:r w:rsidR="00DD1D0D" w:rsidRPr="0043224D">
        <w:rPr>
          <w:rFonts w:ascii="Times New Roman" w:eastAsia="Times New Roman" w:hAnsi="Times New Roman" w:cs="Times New Roman"/>
          <w:bCs/>
          <w:color w:val="000000"/>
          <w:sz w:val="24"/>
          <w:szCs w:val="24"/>
        </w:rPr>
        <w:t>,</w:t>
      </w:r>
      <w:r w:rsidR="00F83FBA" w:rsidRPr="0043224D">
        <w:rPr>
          <w:rFonts w:ascii="Times New Roman" w:eastAsia="Times New Roman" w:hAnsi="Times New Roman" w:cs="Times New Roman"/>
          <w:bCs/>
          <w:color w:val="000000"/>
          <w:sz w:val="24"/>
          <w:szCs w:val="24"/>
        </w:rPr>
        <w:t xml:space="preserve"> largely</w:t>
      </w:r>
      <w:r w:rsidR="00292879" w:rsidRPr="0043224D">
        <w:rPr>
          <w:rFonts w:ascii="Times New Roman" w:eastAsia="Times New Roman" w:hAnsi="Times New Roman" w:cs="Times New Roman"/>
          <w:bCs/>
          <w:color w:val="000000"/>
          <w:sz w:val="24"/>
          <w:szCs w:val="24"/>
        </w:rPr>
        <w:t>,</w:t>
      </w:r>
      <w:r w:rsidR="004309FB" w:rsidRPr="0043224D">
        <w:rPr>
          <w:rFonts w:ascii="Times New Roman" w:eastAsia="Times New Roman" w:hAnsi="Times New Roman" w:cs="Times New Roman"/>
          <w:bCs/>
          <w:color w:val="000000"/>
          <w:sz w:val="24"/>
          <w:szCs w:val="24"/>
        </w:rPr>
        <w:t xml:space="preserve"> as noted above</w:t>
      </w:r>
      <w:r w:rsidR="00292879" w:rsidRPr="0043224D">
        <w:rPr>
          <w:rFonts w:ascii="Times New Roman" w:eastAsia="Times New Roman" w:hAnsi="Times New Roman" w:cs="Times New Roman"/>
          <w:bCs/>
          <w:color w:val="000000"/>
          <w:sz w:val="24"/>
          <w:szCs w:val="24"/>
        </w:rPr>
        <w:t>,</w:t>
      </w:r>
      <w:r w:rsidR="00F83FBA" w:rsidRPr="0043224D">
        <w:rPr>
          <w:rFonts w:ascii="Times New Roman" w:eastAsia="Times New Roman" w:hAnsi="Times New Roman" w:cs="Times New Roman"/>
          <w:bCs/>
          <w:color w:val="000000"/>
          <w:sz w:val="24"/>
          <w:szCs w:val="24"/>
        </w:rPr>
        <w:t xml:space="preserve"> due to its connection</w:t>
      </w:r>
      <w:r w:rsidR="00DD1D0D" w:rsidRPr="0043224D">
        <w:rPr>
          <w:rFonts w:ascii="Times New Roman" w:eastAsia="Times New Roman" w:hAnsi="Times New Roman" w:cs="Times New Roman"/>
          <w:bCs/>
          <w:color w:val="000000"/>
          <w:sz w:val="24"/>
          <w:szCs w:val="24"/>
        </w:rPr>
        <w:t xml:space="preserve"> with colonial settlement</w:t>
      </w:r>
      <w:r w:rsidR="00F83FBA" w:rsidRPr="0043224D">
        <w:rPr>
          <w:rFonts w:ascii="Times New Roman" w:eastAsia="Times New Roman" w:hAnsi="Times New Roman" w:cs="Times New Roman"/>
          <w:bCs/>
          <w:color w:val="000000"/>
          <w:sz w:val="24"/>
          <w:szCs w:val="24"/>
        </w:rPr>
        <w:t xml:space="preserve"> and the attendant violence and racism associated with the</w:t>
      </w:r>
      <w:r w:rsidR="00A01D10" w:rsidRPr="0043224D">
        <w:rPr>
          <w:rFonts w:ascii="Times New Roman" w:eastAsia="Times New Roman" w:hAnsi="Times New Roman" w:cs="Times New Roman"/>
          <w:bCs/>
          <w:color w:val="000000"/>
          <w:sz w:val="24"/>
          <w:szCs w:val="24"/>
        </w:rPr>
        <w:t xml:space="preserve"> colonial</w:t>
      </w:r>
      <w:r w:rsidR="00F83FBA" w:rsidRPr="0043224D">
        <w:rPr>
          <w:rFonts w:ascii="Times New Roman" w:eastAsia="Times New Roman" w:hAnsi="Times New Roman" w:cs="Times New Roman"/>
          <w:bCs/>
          <w:color w:val="000000"/>
          <w:sz w:val="24"/>
          <w:szCs w:val="24"/>
        </w:rPr>
        <w:t xml:space="preserve"> project</w:t>
      </w:r>
      <w:r w:rsidR="004309FB" w:rsidRPr="0043224D">
        <w:rPr>
          <w:rFonts w:ascii="Times New Roman" w:eastAsia="Times New Roman" w:hAnsi="Times New Roman" w:cs="Times New Roman"/>
          <w:bCs/>
          <w:color w:val="000000"/>
          <w:sz w:val="24"/>
          <w:szCs w:val="24"/>
        </w:rPr>
        <w:t xml:space="preserve"> thereafter</w:t>
      </w:r>
      <w:r w:rsidR="00F83FBA" w:rsidRPr="0043224D">
        <w:rPr>
          <w:rFonts w:ascii="Times New Roman" w:eastAsia="Times New Roman" w:hAnsi="Times New Roman" w:cs="Times New Roman"/>
          <w:bCs/>
          <w:color w:val="000000"/>
          <w:sz w:val="24"/>
          <w:szCs w:val="24"/>
        </w:rPr>
        <w:t>.</w:t>
      </w:r>
      <w:r w:rsidR="0049319B" w:rsidRPr="0043224D">
        <w:rPr>
          <w:rFonts w:ascii="Times New Roman" w:eastAsia="Times New Roman" w:hAnsi="Times New Roman" w:cs="Times New Roman"/>
          <w:bCs/>
          <w:color w:val="000000"/>
          <w:sz w:val="24"/>
          <w:szCs w:val="24"/>
        </w:rPr>
        <w:t xml:space="preserve"> </w:t>
      </w:r>
      <w:r w:rsidR="004F579F" w:rsidRPr="0043224D">
        <w:rPr>
          <w:rFonts w:ascii="Times New Roman" w:eastAsia="Times New Roman" w:hAnsi="Times New Roman" w:cs="Times New Roman"/>
          <w:bCs/>
          <w:color w:val="000000"/>
          <w:sz w:val="24"/>
          <w:szCs w:val="24"/>
        </w:rPr>
        <w:t xml:space="preserve">From the sixteenth century onwards, European </w:t>
      </w:r>
      <w:r w:rsidR="00392364" w:rsidRPr="0043224D">
        <w:rPr>
          <w:rFonts w:ascii="Times New Roman" w:eastAsia="Times New Roman" w:hAnsi="Times New Roman" w:cs="Times New Roman"/>
          <w:bCs/>
          <w:color w:val="000000"/>
          <w:sz w:val="24"/>
          <w:szCs w:val="24"/>
        </w:rPr>
        <w:t xml:space="preserve">imperial </w:t>
      </w:r>
      <w:r w:rsidR="004F579F" w:rsidRPr="0043224D">
        <w:rPr>
          <w:rFonts w:ascii="Times New Roman" w:eastAsia="Times New Roman" w:hAnsi="Times New Roman" w:cs="Times New Roman"/>
          <w:bCs/>
          <w:color w:val="000000"/>
          <w:sz w:val="24"/>
          <w:szCs w:val="24"/>
        </w:rPr>
        <w:t>powers laid claim to lands and territories inhabited by these peoples</w:t>
      </w:r>
      <w:r w:rsidR="00DF4043" w:rsidRPr="0043224D">
        <w:rPr>
          <w:rFonts w:ascii="Times New Roman" w:eastAsia="Times New Roman" w:hAnsi="Times New Roman" w:cs="Times New Roman"/>
          <w:bCs/>
          <w:color w:val="000000"/>
          <w:sz w:val="24"/>
          <w:szCs w:val="24"/>
        </w:rPr>
        <w:t xml:space="preserve"> either by </w:t>
      </w:r>
      <w:r w:rsidR="00F11B75" w:rsidRPr="0043224D">
        <w:rPr>
          <w:rFonts w:ascii="Times New Roman" w:eastAsia="Times New Roman" w:hAnsi="Times New Roman" w:cs="Times New Roman"/>
          <w:bCs/>
          <w:color w:val="000000"/>
          <w:sz w:val="24"/>
          <w:szCs w:val="24"/>
        </w:rPr>
        <w:t xml:space="preserve">military </w:t>
      </w:r>
      <w:r w:rsidR="00DF4043" w:rsidRPr="0043224D">
        <w:rPr>
          <w:rFonts w:ascii="Times New Roman" w:eastAsia="Times New Roman" w:hAnsi="Times New Roman" w:cs="Times New Roman"/>
          <w:bCs/>
          <w:color w:val="000000"/>
          <w:sz w:val="24"/>
          <w:szCs w:val="24"/>
        </w:rPr>
        <w:t>force, the “civilising mission” of Christianity, or recourse to</w:t>
      </w:r>
      <w:r w:rsidR="00981CD0" w:rsidRPr="0043224D">
        <w:rPr>
          <w:rFonts w:ascii="Times New Roman" w:eastAsia="Times New Roman" w:hAnsi="Times New Roman" w:cs="Times New Roman"/>
          <w:bCs/>
          <w:color w:val="000000"/>
          <w:sz w:val="24"/>
          <w:szCs w:val="24"/>
        </w:rPr>
        <w:t xml:space="preserve"> the principle of</w:t>
      </w:r>
      <w:r w:rsidR="00DF4043" w:rsidRPr="0043224D">
        <w:rPr>
          <w:rFonts w:ascii="Times New Roman" w:eastAsia="Times New Roman" w:hAnsi="Times New Roman" w:cs="Times New Roman"/>
          <w:bCs/>
          <w:color w:val="000000"/>
          <w:sz w:val="24"/>
          <w:szCs w:val="24"/>
        </w:rPr>
        <w:t xml:space="preserve"> natural law, or</w:t>
      </w:r>
      <w:r w:rsidR="00981CD0" w:rsidRPr="0043224D">
        <w:rPr>
          <w:rFonts w:ascii="Times New Roman" w:eastAsia="Times New Roman" w:hAnsi="Times New Roman" w:cs="Times New Roman"/>
          <w:bCs/>
          <w:color w:val="000000"/>
          <w:sz w:val="24"/>
          <w:szCs w:val="24"/>
        </w:rPr>
        <w:t xml:space="preserve"> often a deadly </w:t>
      </w:r>
      <w:r w:rsidR="00DF4043" w:rsidRPr="0043224D">
        <w:rPr>
          <w:rFonts w:ascii="Times New Roman" w:eastAsia="Times New Roman" w:hAnsi="Times New Roman" w:cs="Times New Roman"/>
          <w:bCs/>
          <w:color w:val="000000"/>
          <w:sz w:val="24"/>
          <w:szCs w:val="24"/>
        </w:rPr>
        <w:t>combination of all three.</w:t>
      </w:r>
      <w:r w:rsidR="001A70A9" w:rsidRPr="0043224D">
        <w:rPr>
          <w:rStyle w:val="FootnoteReference"/>
          <w:rFonts w:ascii="Times New Roman" w:eastAsia="Times New Roman" w:hAnsi="Times New Roman" w:cs="Times New Roman"/>
          <w:bCs/>
          <w:color w:val="000000"/>
          <w:sz w:val="24"/>
          <w:szCs w:val="24"/>
        </w:rPr>
        <w:t xml:space="preserve"> </w:t>
      </w:r>
      <w:r w:rsidR="001A70A9" w:rsidRPr="0043224D">
        <w:rPr>
          <w:rStyle w:val="FootnoteReference"/>
          <w:rFonts w:ascii="Times New Roman" w:eastAsia="Times New Roman" w:hAnsi="Times New Roman" w:cs="Times New Roman"/>
          <w:bCs/>
          <w:color w:val="000000"/>
          <w:sz w:val="24"/>
          <w:szCs w:val="24"/>
        </w:rPr>
        <w:footnoteReference w:id="26"/>
      </w:r>
      <w:r w:rsidR="00DF4043" w:rsidRPr="0043224D">
        <w:rPr>
          <w:rFonts w:ascii="Times New Roman" w:eastAsia="Times New Roman" w:hAnsi="Times New Roman" w:cs="Times New Roman"/>
          <w:bCs/>
          <w:color w:val="000000"/>
          <w:sz w:val="24"/>
          <w:szCs w:val="24"/>
        </w:rPr>
        <w:t xml:space="preserve"> </w:t>
      </w:r>
      <w:r w:rsidR="00981CD0" w:rsidRPr="0043224D">
        <w:rPr>
          <w:rFonts w:ascii="Times New Roman" w:eastAsia="Times New Roman" w:hAnsi="Times New Roman" w:cs="Times New Roman"/>
          <w:bCs/>
          <w:color w:val="000000"/>
          <w:sz w:val="24"/>
          <w:szCs w:val="24"/>
        </w:rPr>
        <w:t xml:space="preserve"> </w:t>
      </w:r>
      <w:r w:rsidR="00392364" w:rsidRPr="0043224D">
        <w:rPr>
          <w:rFonts w:ascii="Times New Roman" w:eastAsia="Times New Roman" w:hAnsi="Times New Roman" w:cs="Times New Roman"/>
          <w:bCs/>
          <w:color w:val="000000"/>
          <w:sz w:val="24"/>
          <w:szCs w:val="24"/>
        </w:rPr>
        <w:t>As</w:t>
      </w:r>
      <w:r w:rsidR="004F579F" w:rsidRPr="0043224D">
        <w:rPr>
          <w:rFonts w:ascii="Times New Roman" w:eastAsia="Times New Roman" w:hAnsi="Times New Roman" w:cs="Times New Roman"/>
          <w:bCs/>
          <w:color w:val="000000"/>
          <w:sz w:val="24"/>
          <w:szCs w:val="24"/>
        </w:rPr>
        <w:t xml:space="preserve"> result of this </w:t>
      </w:r>
      <w:r w:rsidR="00AE6FF4" w:rsidRPr="0043224D">
        <w:rPr>
          <w:rFonts w:ascii="Times New Roman" w:eastAsia="Times New Roman" w:hAnsi="Times New Roman" w:cs="Times New Roman"/>
          <w:bCs/>
          <w:color w:val="000000"/>
          <w:sz w:val="24"/>
          <w:szCs w:val="24"/>
        </w:rPr>
        <w:t xml:space="preserve">history </w:t>
      </w:r>
      <w:r w:rsidR="004F579F" w:rsidRPr="0043224D">
        <w:rPr>
          <w:rFonts w:ascii="Times New Roman" w:eastAsia="Times New Roman" w:hAnsi="Times New Roman" w:cs="Times New Roman"/>
          <w:bCs/>
          <w:color w:val="000000"/>
          <w:sz w:val="24"/>
          <w:szCs w:val="24"/>
        </w:rPr>
        <w:t>of subjugation and conquest</w:t>
      </w:r>
      <w:r w:rsidR="005A6774" w:rsidRPr="0043224D">
        <w:rPr>
          <w:rFonts w:ascii="Times New Roman" w:eastAsia="Times New Roman" w:hAnsi="Times New Roman" w:cs="Times New Roman"/>
          <w:bCs/>
          <w:color w:val="000000"/>
          <w:sz w:val="24"/>
          <w:szCs w:val="24"/>
        </w:rPr>
        <w:t xml:space="preserve"> there has been</w:t>
      </w:r>
      <w:r w:rsidR="006D12F6" w:rsidRPr="0043224D">
        <w:rPr>
          <w:rFonts w:ascii="Times New Roman" w:eastAsia="Times New Roman" w:hAnsi="Times New Roman" w:cs="Times New Roman"/>
          <w:bCs/>
          <w:color w:val="000000"/>
          <w:sz w:val="24"/>
          <w:szCs w:val="24"/>
        </w:rPr>
        <w:t xml:space="preserve"> at best</w:t>
      </w:r>
      <w:r w:rsidR="005A6774" w:rsidRPr="0043224D">
        <w:rPr>
          <w:rFonts w:ascii="Times New Roman" w:eastAsia="Times New Roman" w:hAnsi="Times New Roman" w:cs="Times New Roman"/>
          <w:bCs/>
          <w:color w:val="000000"/>
          <w:sz w:val="24"/>
          <w:szCs w:val="24"/>
        </w:rPr>
        <w:t xml:space="preserve"> </w:t>
      </w:r>
      <w:r w:rsidR="006D12F6" w:rsidRPr="0043224D">
        <w:rPr>
          <w:rFonts w:ascii="Times New Roman" w:eastAsia="Times New Roman" w:hAnsi="Times New Roman" w:cs="Times New Roman"/>
          <w:bCs/>
          <w:color w:val="000000"/>
          <w:sz w:val="24"/>
          <w:szCs w:val="24"/>
        </w:rPr>
        <w:t xml:space="preserve">suspicious </w:t>
      </w:r>
      <w:r w:rsidR="005A6774" w:rsidRPr="0043224D">
        <w:rPr>
          <w:rFonts w:ascii="Times New Roman" w:eastAsia="Times New Roman" w:hAnsi="Times New Roman" w:cs="Times New Roman"/>
          <w:bCs/>
          <w:color w:val="000000"/>
          <w:sz w:val="24"/>
          <w:szCs w:val="24"/>
        </w:rPr>
        <w:t>ambivalence</w:t>
      </w:r>
      <w:r w:rsidR="006D12F6" w:rsidRPr="0043224D">
        <w:rPr>
          <w:rFonts w:ascii="Times New Roman" w:eastAsia="Times New Roman" w:hAnsi="Times New Roman" w:cs="Times New Roman"/>
          <w:bCs/>
          <w:color w:val="000000"/>
          <w:sz w:val="24"/>
          <w:szCs w:val="24"/>
        </w:rPr>
        <w:t>,</w:t>
      </w:r>
      <w:r w:rsidR="005A6774" w:rsidRPr="0043224D">
        <w:rPr>
          <w:rFonts w:ascii="Times New Roman" w:eastAsia="Times New Roman" w:hAnsi="Times New Roman" w:cs="Times New Roman"/>
          <w:bCs/>
          <w:color w:val="000000"/>
          <w:sz w:val="24"/>
          <w:szCs w:val="24"/>
        </w:rPr>
        <w:t xml:space="preserve"> and</w:t>
      </w:r>
      <w:r w:rsidR="006D12F6" w:rsidRPr="0043224D">
        <w:rPr>
          <w:rFonts w:ascii="Times New Roman" w:eastAsia="Times New Roman" w:hAnsi="Times New Roman" w:cs="Times New Roman"/>
          <w:bCs/>
          <w:color w:val="000000"/>
          <w:sz w:val="24"/>
          <w:szCs w:val="24"/>
        </w:rPr>
        <w:t xml:space="preserve"> at worst,</w:t>
      </w:r>
      <w:r w:rsidR="005A6774" w:rsidRPr="0043224D">
        <w:rPr>
          <w:rFonts w:ascii="Times New Roman" w:eastAsia="Times New Roman" w:hAnsi="Times New Roman" w:cs="Times New Roman"/>
          <w:bCs/>
          <w:color w:val="000000"/>
          <w:sz w:val="24"/>
          <w:szCs w:val="24"/>
        </w:rPr>
        <w:t xml:space="preserve"> often</w:t>
      </w:r>
      <w:r w:rsidR="006D12F6" w:rsidRPr="0043224D">
        <w:rPr>
          <w:rFonts w:ascii="Times New Roman" w:eastAsia="Times New Roman" w:hAnsi="Times New Roman" w:cs="Times New Roman"/>
          <w:bCs/>
          <w:color w:val="000000"/>
          <w:sz w:val="24"/>
          <w:szCs w:val="24"/>
        </w:rPr>
        <w:t xml:space="preserve"> violent</w:t>
      </w:r>
      <w:r w:rsidR="005A6774" w:rsidRPr="0043224D">
        <w:rPr>
          <w:rFonts w:ascii="Times New Roman" w:eastAsia="Times New Roman" w:hAnsi="Times New Roman" w:cs="Times New Roman"/>
          <w:bCs/>
          <w:color w:val="000000"/>
          <w:sz w:val="24"/>
          <w:szCs w:val="24"/>
        </w:rPr>
        <w:t xml:space="preserve"> resistance on the part of the subjugated to</w:t>
      </w:r>
      <w:r w:rsidR="00F11B75" w:rsidRPr="0043224D">
        <w:rPr>
          <w:rFonts w:ascii="Times New Roman" w:eastAsia="Times New Roman" w:hAnsi="Times New Roman" w:cs="Times New Roman"/>
          <w:bCs/>
          <w:color w:val="000000"/>
          <w:sz w:val="24"/>
          <w:szCs w:val="24"/>
        </w:rPr>
        <w:t xml:space="preserve"> a</w:t>
      </w:r>
      <w:r w:rsidR="006D12F6" w:rsidRPr="0043224D">
        <w:rPr>
          <w:rFonts w:ascii="Times New Roman" w:eastAsia="Times New Roman" w:hAnsi="Times New Roman" w:cs="Times New Roman"/>
          <w:bCs/>
          <w:color w:val="000000"/>
          <w:sz w:val="24"/>
          <w:szCs w:val="24"/>
        </w:rPr>
        <w:t>n</w:t>
      </w:r>
      <w:r w:rsidR="00F11B75" w:rsidRPr="0043224D">
        <w:rPr>
          <w:rFonts w:ascii="Times New Roman" w:eastAsia="Times New Roman" w:hAnsi="Times New Roman" w:cs="Times New Roman"/>
          <w:bCs/>
          <w:color w:val="000000"/>
          <w:sz w:val="24"/>
          <w:szCs w:val="24"/>
        </w:rPr>
        <w:t xml:space="preserve"> </w:t>
      </w:r>
      <w:r w:rsidR="006D12F6" w:rsidRPr="0043224D">
        <w:rPr>
          <w:rFonts w:ascii="Times New Roman" w:eastAsia="Times New Roman" w:hAnsi="Times New Roman" w:cs="Times New Roman"/>
          <w:bCs/>
          <w:color w:val="000000"/>
          <w:sz w:val="24"/>
          <w:szCs w:val="24"/>
        </w:rPr>
        <w:t xml:space="preserve">external </w:t>
      </w:r>
      <w:r w:rsidR="00F11B75" w:rsidRPr="0043224D">
        <w:rPr>
          <w:rFonts w:ascii="Times New Roman" w:eastAsia="Times New Roman" w:hAnsi="Times New Roman" w:cs="Times New Roman"/>
          <w:bCs/>
          <w:color w:val="000000"/>
          <w:sz w:val="24"/>
          <w:szCs w:val="24"/>
        </w:rPr>
        <w:t>universal</w:t>
      </w:r>
      <w:r w:rsidR="005A6774" w:rsidRPr="0043224D">
        <w:rPr>
          <w:rFonts w:ascii="Times New Roman" w:eastAsia="Times New Roman" w:hAnsi="Times New Roman" w:cs="Times New Roman"/>
          <w:bCs/>
          <w:color w:val="000000"/>
          <w:sz w:val="24"/>
          <w:szCs w:val="24"/>
        </w:rPr>
        <w:t xml:space="preserve"> description</w:t>
      </w:r>
      <w:r w:rsidRPr="0043224D">
        <w:rPr>
          <w:rFonts w:ascii="Times New Roman" w:eastAsia="Times New Roman" w:hAnsi="Times New Roman" w:cs="Times New Roman"/>
          <w:bCs/>
          <w:color w:val="000000"/>
          <w:sz w:val="24"/>
          <w:szCs w:val="24"/>
        </w:rPr>
        <w:t xml:space="preserve">. </w:t>
      </w:r>
      <w:r w:rsidR="00421D84" w:rsidRPr="0043224D">
        <w:rPr>
          <w:rFonts w:ascii="Times New Roman" w:eastAsia="Times New Roman" w:hAnsi="Times New Roman" w:cs="Times New Roman"/>
          <w:bCs/>
          <w:color w:val="000000"/>
          <w:sz w:val="24"/>
          <w:szCs w:val="24"/>
        </w:rPr>
        <w:t xml:space="preserve">The following quote from </w:t>
      </w:r>
      <w:r w:rsidR="002839A3" w:rsidRPr="0043224D">
        <w:rPr>
          <w:rFonts w:ascii="Times New Roman" w:eastAsia="Times New Roman" w:hAnsi="Times New Roman" w:cs="Times New Roman"/>
          <w:bCs/>
          <w:color w:val="000000"/>
          <w:sz w:val="24"/>
          <w:szCs w:val="24"/>
        </w:rPr>
        <w:t xml:space="preserve">representatives of </w:t>
      </w:r>
      <w:r w:rsidR="00421D84" w:rsidRPr="0043224D">
        <w:rPr>
          <w:rFonts w:ascii="Times New Roman" w:eastAsia="Times New Roman" w:hAnsi="Times New Roman" w:cs="Times New Roman"/>
          <w:bCs/>
          <w:color w:val="000000"/>
          <w:sz w:val="24"/>
          <w:szCs w:val="24"/>
        </w:rPr>
        <w:t>indigenous communities</w:t>
      </w:r>
      <w:r w:rsidR="00F11B75" w:rsidRPr="0043224D">
        <w:rPr>
          <w:rFonts w:ascii="Times New Roman" w:eastAsia="Times New Roman" w:hAnsi="Times New Roman" w:cs="Times New Roman"/>
          <w:bCs/>
          <w:color w:val="000000"/>
          <w:sz w:val="24"/>
          <w:szCs w:val="24"/>
        </w:rPr>
        <w:t>,</w:t>
      </w:r>
      <w:r w:rsidR="001C0F99" w:rsidRPr="0043224D">
        <w:rPr>
          <w:rFonts w:ascii="Times New Roman" w:eastAsia="Times New Roman" w:hAnsi="Times New Roman" w:cs="Times New Roman"/>
          <w:bCs/>
          <w:color w:val="000000"/>
          <w:sz w:val="24"/>
          <w:szCs w:val="24"/>
        </w:rPr>
        <w:t xml:space="preserve"> at the UN Working Group on Indigenous P</w:t>
      </w:r>
      <w:r w:rsidR="00421D84" w:rsidRPr="0043224D">
        <w:rPr>
          <w:rFonts w:ascii="Times New Roman" w:eastAsia="Times New Roman" w:hAnsi="Times New Roman" w:cs="Times New Roman"/>
          <w:bCs/>
          <w:color w:val="000000"/>
          <w:sz w:val="24"/>
          <w:szCs w:val="24"/>
        </w:rPr>
        <w:t>opulations</w:t>
      </w:r>
      <w:r w:rsidR="00F11B75" w:rsidRPr="0043224D">
        <w:rPr>
          <w:rFonts w:ascii="Times New Roman" w:eastAsia="Times New Roman" w:hAnsi="Times New Roman" w:cs="Times New Roman"/>
          <w:bCs/>
          <w:color w:val="000000"/>
          <w:sz w:val="24"/>
          <w:szCs w:val="24"/>
        </w:rPr>
        <w:t>,</w:t>
      </w:r>
      <w:r w:rsidR="002839A3" w:rsidRPr="0043224D">
        <w:rPr>
          <w:rFonts w:ascii="Times New Roman" w:eastAsia="Times New Roman" w:hAnsi="Times New Roman" w:cs="Times New Roman"/>
          <w:bCs/>
          <w:color w:val="000000"/>
          <w:sz w:val="24"/>
          <w:szCs w:val="24"/>
        </w:rPr>
        <w:t xml:space="preserve"> listed</w:t>
      </w:r>
      <w:r w:rsidR="00421D84" w:rsidRPr="0043224D">
        <w:rPr>
          <w:rFonts w:ascii="Times New Roman" w:eastAsia="Times New Roman" w:hAnsi="Times New Roman" w:cs="Times New Roman"/>
          <w:bCs/>
          <w:color w:val="000000"/>
          <w:sz w:val="24"/>
          <w:szCs w:val="24"/>
        </w:rPr>
        <w:t xml:space="preserve"> in </w:t>
      </w:r>
      <w:r w:rsidR="002839A3" w:rsidRPr="0043224D">
        <w:rPr>
          <w:rFonts w:ascii="Times New Roman" w:eastAsia="Times New Roman" w:hAnsi="Times New Roman" w:cs="Times New Roman"/>
          <w:bCs/>
          <w:color w:val="000000"/>
          <w:sz w:val="24"/>
          <w:szCs w:val="24"/>
        </w:rPr>
        <w:t>the group’s</w:t>
      </w:r>
      <w:r w:rsidR="00421D84" w:rsidRPr="0043224D">
        <w:rPr>
          <w:rFonts w:ascii="Times New Roman" w:eastAsia="Times New Roman" w:hAnsi="Times New Roman" w:cs="Times New Roman"/>
          <w:bCs/>
          <w:color w:val="000000"/>
          <w:sz w:val="24"/>
          <w:szCs w:val="24"/>
        </w:rPr>
        <w:t xml:space="preserve"> 1996 report</w:t>
      </w:r>
      <w:r w:rsidR="00F11B75" w:rsidRPr="0043224D">
        <w:rPr>
          <w:rFonts w:ascii="Times New Roman" w:eastAsia="Times New Roman" w:hAnsi="Times New Roman" w:cs="Times New Roman"/>
          <w:bCs/>
          <w:color w:val="000000"/>
          <w:sz w:val="24"/>
          <w:szCs w:val="24"/>
        </w:rPr>
        <w:t>,</w:t>
      </w:r>
      <w:r w:rsidR="00421D84" w:rsidRPr="0043224D">
        <w:rPr>
          <w:rFonts w:ascii="Times New Roman" w:eastAsia="Times New Roman" w:hAnsi="Times New Roman" w:cs="Times New Roman"/>
          <w:bCs/>
          <w:color w:val="000000"/>
          <w:sz w:val="24"/>
          <w:szCs w:val="24"/>
        </w:rPr>
        <w:t xml:space="preserve"> is an </w:t>
      </w:r>
      <w:r w:rsidR="00392364" w:rsidRPr="0043224D">
        <w:rPr>
          <w:rFonts w:ascii="Times New Roman" w:eastAsia="Times New Roman" w:hAnsi="Times New Roman" w:cs="Times New Roman"/>
          <w:bCs/>
          <w:color w:val="000000"/>
          <w:sz w:val="24"/>
          <w:szCs w:val="24"/>
        </w:rPr>
        <w:t>illustration of their</w:t>
      </w:r>
      <w:r w:rsidR="002839A3" w:rsidRPr="0043224D">
        <w:rPr>
          <w:rFonts w:ascii="Times New Roman" w:eastAsia="Times New Roman" w:hAnsi="Times New Roman" w:cs="Times New Roman"/>
          <w:bCs/>
          <w:color w:val="000000"/>
          <w:sz w:val="24"/>
          <w:szCs w:val="24"/>
        </w:rPr>
        <w:t xml:space="preserve"> position: </w:t>
      </w:r>
      <w:r w:rsidR="008C72BB" w:rsidRPr="0043224D">
        <w:rPr>
          <w:rFonts w:ascii="Times New Roman" w:eastAsia="Times New Roman" w:hAnsi="Times New Roman" w:cs="Times New Roman"/>
          <w:bCs/>
          <w:color w:val="000000"/>
          <w:sz w:val="24"/>
          <w:szCs w:val="24"/>
        </w:rPr>
        <w:t xml:space="preserve"> </w:t>
      </w:r>
    </w:p>
    <w:p w:rsidR="002839A3" w:rsidRPr="0043224D" w:rsidRDefault="002839A3" w:rsidP="0043224D">
      <w:pPr>
        <w:spacing w:line="360" w:lineRule="auto"/>
        <w:ind w:left="720"/>
        <w:rPr>
          <w:rFonts w:ascii="Times New Roman" w:hAnsi="Times New Roman" w:cs="Times New Roman"/>
          <w:sz w:val="24"/>
          <w:szCs w:val="24"/>
        </w:rPr>
      </w:pPr>
      <w:r w:rsidRPr="0043224D">
        <w:rPr>
          <w:rFonts w:ascii="Times New Roman" w:hAnsi="Times New Roman" w:cs="Times New Roman"/>
          <w:i/>
          <w:sz w:val="24"/>
          <w:szCs w:val="24"/>
        </w:rPr>
        <w:t xml:space="preserve">“We, the Indigenous Peoples </w:t>
      </w:r>
      <w:r w:rsidR="00B63576" w:rsidRPr="0043224D">
        <w:rPr>
          <w:rFonts w:ascii="Times New Roman" w:hAnsi="Times New Roman" w:cs="Times New Roman"/>
          <w:i/>
          <w:sz w:val="24"/>
          <w:szCs w:val="24"/>
        </w:rPr>
        <w:t>…</w:t>
      </w:r>
      <w:r w:rsidRPr="0043224D">
        <w:rPr>
          <w:rFonts w:ascii="Times New Roman" w:hAnsi="Times New Roman" w:cs="Times New Roman"/>
          <w:i/>
          <w:sz w:val="24"/>
          <w:szCs w:val="24"/>
        </w:rPr>
        <w:t xml:space="preserve"> have reached a consensus on the issue of defining Indigenous Peoples</w:t>
      </w:r>
      <w:r w:rsidR="00392364" w:rsidRPr="0043224D">
        <w:rPr>
          <w:rFonts w:ascii="Times New Roman" w:hAnsi="Times New Roman" w:cs="Times New Roman"/>
          <w:i/>
          <w:sz w:val="24"/>
          <w:szCs w:val="24"/>
        </w:rPr>
        <w:t>…</w:t>
      </w:r>
      <w:r w:rsidRPr="0043224D">
        <w:rPr>
          <w:rFonts w:ascii="Times New Roman" w:hAnsi="Times New Roman" w:cs="Times New Roman"/>
          <w:i/>
          <w:sz w:val="24"/>
          <w:szCs w:val="24"/>
        </w:rPr>
        <w:t xml:space="preserve"> </w:t>
      </w:r>
      <w:r w:rsidR="00F844C9" w:rsidRPr="0043224D">
        <w:rPr>
          <w:rFonts w:ascii="Times New Roman" w:hAnsi="Times New Roman" w:cs="Times New Roman"/>
          <w:i/>
          <w:sz w:val="24"/>
          <w:szCs w:val="24"/>
        </w:rPr>
        <w:t>we</w:t>
      </w:r>
      <w:r w:rsidRPr="0043224D">
        <w:rPr>
          <w:rFonts w:ascii="Times New Roman" w:hAnsi="Times New Roman" w:cs="Times New Roman"/>
          <w:i/>
          <w:sz w:val="24"/>
          <w:szCs w:val="24"/>
        </w:rPr>
        <w:t xml:space="preserve"> categorically reject</w:t>
      </w:r>
      <w:r w:rsidRPr="0043224D">
        <w:rPr>
          <w:rFonts w:ascii="Times New Roman" w:hAnsi="Times New Roman" w:cs="Times New Roman"/>
          <w:b/>
          <w:i/>
          <w:sz w:val="24"/>
          <w:szCs w:val="24"/>
        </w:rPr>
        <w:t xml:space="preserve"> </w:t>
      </w:r>
      <w:r w:rsidRPr="0043224D">
        <w:rPr>
          <w:rFonts w:ascii="Times New Roman" w:hAnsi="Times New Roman" w:cs="Times New Roman"/>
          <w:i/>
          <w:sz w:val="24"/>
          <w:szCs w:val="24"/>
        </w:rPr>
        <w:t>any attempts that Governments define Indigenous Peoples”.</w:t>
      </w:r>
      <w:r w:rsidRPr="0043224D">
        <w:rPr>
          <w:rStyle w:val="FootnoteReference"/>
          <w:rFonts w:ascii="Times New Roman" w:hAnsi="Times New Roman" w:cs="Times New Roman"/>
          <w:sz w:val="24"/>
          <w:szCs w:val="24"/>
        </w:rPr>
        <w:footnoteReference w:id="27"/>
      </w:r>
      <w:r w:rsidRPr="0043224D">
        <w:rPr>
          <w:rFonts w:ascii="Times New Roman" w:hAnsi="Times New Roman" w:cs="Times New Roman"/>
          <w:i/>
          <w:sz w:val="24"/>
          <w:szCs w:val="24"/>
        </w:rPr>
        <w:t xml:space="preserve"> </w:t>
      </w:r>
      <w:r w:rsidR="00460FC5" w:rsidRPr="0043224D">
        <w:rPr>
          <w:rFonts w:ascii="Times New Roman" w:hAnsi="Times New Roman" w:cs="Times New Roman"/>
          <w:i/>
          <w:sz w:val="24"/>
          <w:szCs w:val="24"/>
        </w:rPr>
        <w:t xml:space="preserve"> </w:t>
      </w:r>
    </w:p>
    <w:p w:rsidR="002C0F74" w:rsidRPr="0043224D" w:rsidRDefault="00A6203B" w:rsidP="0043224D">
      <w:pPr>
        <w:spacing w:before="100" w:beforeAutospacing="1" w:after="100" w:afterAutospacing="1" w:line="360" w:lineRule="auto"/>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Nevertheless</w:t>
      </w:r>
      <w:r w:rsidR="0043542A" w:rsidRPr="0043224D">
        <w:rPr>
          <w:rFonts w:ascii="Times New Roman" w:eastAsia="Times New Roman" w:hAnsi="Times New Roman" w:cs="Times New Roman"/>
          <w:bCs/>
          <w:color w:val="000000"/>
          <w:sz w:val="24"/>
          <w:szCs w:val="24"/>
        </w:rPr>
        <w:t xml:space="preserve">, chiefly as a result of political expediency, </w:t>
      </w:r>
      <w:r w:rsidR="00294672" w:rsidRPr="0043224D">
        <w:rPr>
          <w:rFonts w:ascii="Times New Roman" w:eastAsia="Times New Roman" w:hAnsi="Times New Roman" w:cs="Times New Roman"/>
          <w:bCs/>
          <w:color w:val="000000"/>
          <w:sz w:val="24"/>
          <w:szCs w:val="24"/>
        </w:rPr>
        <w:t xml:space="preserve">indigenous </w:t>
      </w:r>
      <w:r w:rsidR="0043542A" w:rsidRPr="0043224D">
        <w:rPr>
          <w:rFonts w:ascii="Times New Roman" w:eastAsia="Times New Roman" w:hAnsi="Times New Roman" w:cs="Times New Roman"/>
          <w:bCs/>
          <w:color w:val="000000"/>
          <w:sz w:val="24"/>
          <w:szCs w:val="24"/>
        </w:rPr>
        <w:t xml:space="preserve">global alliances, and occasionally strategic interests, </w:t>
      </w:r>
      <w:r w:rsidR="00C936B2" w:rsidRPr="0043224D">
        <w:rPr>
          <w:rFonts w:ascii="Times New Roman" w:eastAsia="Times New Roman" w:hAnsi="Times New Roman" w:cs="Times New Roman"/>
          <w:bCs/>
          <w:color w:val="000000"/>
          <w:sz w:val="24"/>
          <w:szCs w:val="24"/>
        </w:rPr>
        <w:t xml:space="preserve"> the term now applies to peoples and </w:t>
      </w:r>
      <w:r w:rsidR="00392364" w:rsidRPr="0043224D">
        <w:rPr>
          <w:rFonts w:ascii="Times New Roman" w:eastAsia="Times New Roman" w:hAnsi="Times New Roman" w:cs="Times New Roman"/>
          <w:bCs/>
          <w:color w:val="000000"/>
          <w:sz w:val="24"/>
          <w:szCs w:val="24"/>
        </w:rPr>
        <w:t>communities</w:t>
      </w:r>
      <w:r w:rsidR="00C936B2" w:rsidRPr="0043224D">
        <w:rPr>
          <w:rFonts w:ascii="Times New Roman" w:eastAsia="Times New Roman" w:hAnsi="Times New Roman" w:cs="Times New Roman"/>
          <w:bCs/>
          <w:color w:val="000000"/>
          <w:sz w:val="24"/>
          <w:szCs w:val="24"/>
        </w:rPr>
        <w:t xml:space="preserve"> </w:t>
      </w:r>
      <w:r w:rsidR="00392364" w:rsidRPr="0043224D">
        <w:rPr>
          <w:rFonts w:ascii="Times New Roman" w:eastAsia="Times New Roman" w:hAnsi="Times New Roman" w:cs="Times New Roman"/>
          <w:bCs/>
          <w:color w:val="000000"/>
          <w:sz w:val="24"/>
          <w:szCs w:val="24"/>
        </w:rPr>
        <w:t>who</w:t>
      </w:r>
      <w:r w:rsidR="00C936B2" w:rsidRPr="0043224D">
        <w:rPr>
          <w:rFonts w:ascii="Times New Roman" w:eastAsia="Times New Roman" w:hAnsi="Times New Roman" w:cs="Times New Roman"/>
          <w:bCs/>
          <w:color w:val="000000"/>
          <w:sz w:val="24"/>
          <w:szCs w:val="24"/>
        </w:rPr>
        <w:t xml:space="preserve"> are culturally distinct from the </w:t>
      </w:r>
      <w:r w:rsidR="00392364" w:rsidRPr="0043224D">
        <w:rPr>
          <w:rFonts w:ascii="Times New Roman" w:eastAsia="Times New Roman" w:hAnsi="Times New Roman" w:cs="Times New Roman"/>
          <w:bCs/>
          <w:color w:val="000000"/>
          <w:sz w:val="24"/>
          <w:szCs w:val="24"/>
        </w:rPr>
        <w:t>descendants of European colonists</w:t>
      </w:r>
      <w:r w:rsidR="0049319B" w:rsidRPr="0043224D">
        <w:rPr>
          <w:rFonts w:ascii="Times New Roman" w:eastAsia="Times New Roman" w:hAnsi="Times New Roman" w:cs="Times New Roman"/>
          <w:bCs/>
          <w:color w:val="000000"/>
          <w:sz w:val="24"/>
          <w:szCs w:val="24"/>
        </w:rPr>
        <w:t>.</w:t>
      </w:r>
      <w:r w:rsidR="00294672" w:rsidRPr="0043224D">
        <w:rPr>
          <w:rStyle w:val="FootnoteReference"/>
          <w:rFonts w:ascii="Times New Roman" w:eastAsia="Times New Roman" w:hAnsi="Times New Roman" w:cs="Times New Roman"/>
          <w:bCs/>
          <w:color w:val="000000"/>
          <w:sz w:val="24"/>
          <w:szCs w:val="24"/>
        </w:rPr>
        <w:footnoteReference w:id="28"/>
      </w:r>
      <w:r w:rsidR="0049319B" w:rsidRPr="0043224D">
        <w:rPr>
          <w:rFonts w:ascii="Times New Roman" w:eastAsia="Times New Roman" w:hAnsi="Times New Roman" w:cs="Times New Roman"/>
          <w:bCs/>
          <w:color w:val="000000"/>
          <w:sz w:val="24"/>
          <w:szCs w:val="24"/>
        </w:rPr>
        <w:t xml:space="preserve"> </w:t>
      </w:r>
      <w:r w:rsidR="003850AC" w:rsidRPr="0043224D">
        <w:rPr>
          <w:rFonts w:ascii="Times New Roman" w:eastAsia="Times New Roman" w:hAnsi="Times New Roman" w:cs="Times New Roman"/>
          <w:bCs/>
          <w:color w:val="000000"/>
          <w:sz w:val="24"/>
          <w:szCs w:val="24"/>
        </w:rPr>
        <w:t>In some instances</w:t>
      </w:r>
      <w:r w:rsidR="00914568" w:rsidRPr="0043224D">
        <w:rPr>
          <w:rFonts w:ascii="Times New Roman" w:eastAsia="Times New Roman" w:hAnsi="Times New Roman" w:cs="Times New Roman"/>
          <w:bCs/>
          <w:color w:val="000000"/>
          <w:sz w:val="24"/>
          <w:szCs w:val="24"/>
        </w:rPr>
        <w:t xml:space="preserve"> however</w:t>
      </w:r>
      <w:r w:rsidR="003850AC" w:rsidRPr="0043224D">
        <w:rPr>
          <w:rFonts w:ascii="Times New Roman" w:eastAsia="Times New Roman" w:hAnsi="Times New Roman" w:cs="Times New Roman"/>
          <w:bCs/>
          <w:color w:val="000000"/>
          <w:sz w:val="24"/>
          <w:szCs w:val="24"/>
        </w:rPr>
        <w:t xml:space="preserve">, notably parts of China and </w:t>
      </w:r>
      <w:r w:rsidR="00294672" w:rsidRPr="0043224D">
        <w:rPr>
          <w:rFonts w:ascii="Times New Roman" w:eastAsia="Times New Roman" w:hAnsi="Times New Roman" w:cs="Times New Roman"/>
          <w:bCs/>
          <w:color w:val="000000"/>
          <w:sz w:val="24"/>
          <w:szCs w:val="24"/>
        </w:rPr>
        <w:t xml:space="preserve">India, </w:t>
      </w:r>
      <w:r w:rsidR="00DD1D0D" w:rsidRPr="0043224D">
        <w:rPr>
          <w:rFonts w:ascii="Times New Roman" w:eastAsia="Times New Roman" w:hAnsi="Times New Roman" w:cs="Times New Roman"/>
          <w:bCs/>
          <w:color w:val="000000"/>
          <w:sz w:val="24"/>
          <w:szCs w:val="24"/>
        </w:rPr>
        <w:t>tribal and nomadic</w:t>
      </w:r>
      <w:r w:rsidR="003850AC" w:rsidRPr="0043224D">
        <w:rPr>
          <w:rFonts w:ascii="Times New Roman" w:eastAsia="Times New Roman" w:hAnsi="Times New Roman" w:cs="Times New Roman"/>
          <w:bCs/>
          <w:color w:val="000000"/>
          <w:sz w:val="24"/>
          <w:szCs w:val="24"/>
        </w:rPr>
        <w:t xml:space="preserve"> peoples had little contact with European settlement due to their geographical remoteness</w:t>
      </w:r>
      <w:r w:rsidR="00B63576" w:rsidRPr="0043224D">
        <w:rPr>
          <w:rFonts w:ascii="Times New Roman" w:eastAsia="Times New Roman" w:hAnsi="Times New Roman" w:cs="Times New Roman"/>
          <w:bCs/>
          <w:color w:val="000000"/>
          <w:sz w:val="24"/>
          <w:szCs w:val="24"/>
        </w:rPr>
        <w:t>, but</w:t>
      </w:r>
      <w:r w:rsidR="00981CD0" w:rsidRPr="0043224D">
        <w:rPr>
          <w:rFonts w:ascii="Times New Roman" w:eastAsia="Times New Roman" w:hAnsi="Times New Roman" w:cs="Times New Roman"/>
          <w:bCs/>
          <w:color w:val="000000"/>
          <w:sz w:val="24"/>
          <w:szCs w:val="24"/>
        </w:rPr>
        <w:t xml:space="preserve"> nonetheless</w:t>
      </w:r>
      <w:r w:rsidR="00B63576" w:rsidRPr="0043224D">
        <w:rPr>
          <w:rFonts w:ascii="Times New Roman" w:eastAsia="Times New Roman" w:hAnsi="Times New Roman" w:cs="Times New Roman"/>
          <w:bCs/>
          <w:color w:val="000000"/>
          <w:sz w:val="24"/>
          <w:szCs w:val="24"/>
        </w:rPr>
        <w:t>, for reasons that will be discuss</w:t>
      </w:r>
      <w:r w:rsidR="00981CD0" w:rsidRPr="0043224D">
        <w:rPr>
          <w:rFonts w:ascii="Times New Roman" w:eastAsia="Times New Roman" w:hAnsi="Times New Roman" w:cs="Times New Roman"/>
          <w:bCs/>
          <w:color w:val="000000"/>
          <w:sz w:val="24"/>
          <w:szCs w:val="24"/>
        </w:rPr>
        <w:t>ed later in the thesis, they</w:t>
      </w:r>
      <w:r w:rsidR="00B63576" w:rsidRPr="0043224D">
        <w:rPr>
          <w:rFonts w:ascii="Times New Roman" w:eastAsia="Times New Roman" w:hAnsi="Times New Roman" w:cs="Times New Roman"/>
          <w:bCs/>
          <w:color w:val="000000"/>
          <w:sz w:val="24"/>
          <w:szCs w:val="24"/>
        </w:rPr>
        <w:t xml:space="preserve"> also suffer from many of the problems that characterises the challenges fa</w:t>
      </w:r>
      <w:r w:rsidR="00E73FEF" w:rsidRPr="0043224D">
        <w:rPr>
          <w:rFonts w:ascii="Times New Roman" w:eastAsia="Times New Roman" w:hAnsi="Times New Roman" w:cs="Times New Roman"/>
          <w:bCs/>
          <w:color w:val="000000"/>
          <w:sz w:val="24"/>
          <w:szCs w:val="24"/>
        </w:rPr>
        <w:t>cing global indigenous society.</w:t>
      </w:r>
      <w:r w:rsidR="00675F69" w:rsidRPr="0043224D">
        <w:rPr>
          <w:rStyle w:val="FootnoteReference"/>
          <w:rFonts w:ascii="Times New Roman" w:eastAsia="Times New Roman" w:hAnsi="Times New Roman" w:cs="Times New Roman"/>
          <w:bCs/>
          <w:color w:val="000000"/>
          <w:sz w:val="24"/>
          <w:szCs w:val="24"/>
        </w:rPr>
        <w:footnoteReference w:id="29"/>
      </w:r>
      <w:r w:rsidR="00675F69" w:rsidRPr="0043224D">
        <w:rPr>
          <w:rFonts w:ascii="Times New Roman" w:eastAsia="Times New Roman" w:hAnsi="Times New Roman" w:cs="Times New Roman"/>
          <w:bCs/>
          <w:color w:val="000000"/>
          <w:sz w:val="24"/>
          <w:szCs w:val="24"/>
        </w:rPr>
        <w:t xml:space="preserve"> </w:t>
      </w:r>
      <w:r w:rsidR="00523D83" w:rsidRPr="0043224D">
        <w:rPr>
          <w:rFonts w:ascii="Times New Roman" w:eastAsia="Times New Roman" w:hAnsi="Times New Roman" w:cs="Times New Roman"/>
          <w:bCs/>
          <w:color w:val="000000"/>
          <w:sz w:val="24"/>
          <w:szCs w:val="24"/>
        </w:rPr>
        <w:t xml:space="preserve"> In</w:t>
      </w:r>
      <w:r w:rsidR="002C0F74" w:rsidRPr="0043224D">
        <w:rPr>
          <w:rFonts w:ascii="Times New Roman" w:eastAsia="Times New Roman" w:hAnsi="Times New Roman" w:cs="Times New Roman"/>
          <w:bCs/>
          <w:color w:val="000000"/>
          <w:sz w:val="24"/>
          <w:szCs w:val="24"/>
        </w:rPr>
        <w:t xml:space="preserve"> large degree</w:t>
      </w:r>
      <w:r w:rsidR="00523D83" w:rsidRPr="0043224D">
        <w:rPr>
          <w:rFonts w:ascii="Times New Roman" w:eastAsia="Times New Roman" w:hAnsi="Times New Roman" w:cs="Times New Roman"/>
          <w:bCs/>
          <w:color w:val="000000"/>
          <w:sz w:val="24"/>
          <w:szCs w:val="24"/>
        </w:rPr>
        <w:t xml:space="preserve"> </w:t>
      </w:r>
      <w:r w:rsidR="00FB0C30" w:rsidRPr="0043224D">
        <w:rPr>
          <w:rFonts w:ascii="Times New Roman" w:eastAsia="Times New Roman" w:hAnsi="Times New Roman" w:cs="Times New Roman"/>
          <w:bCs/>
          <w:color w:val="000000"/>
          <w:sz w:val="24"/>
          <w:szCs w:val="24"/>
        </w:rPr>
        <w:t xml:space="preserve">in Asia there has been a history of </w:t>
      </w:r>
      <w:r w:rsidR="00523D83" w:rsidRPr="0043224D">
        <w:rPr>
          <w:rFonts w:ascii="Times New Roman" w:eastAsia="Times New Roman" w:hAnsi="Times New Roman" w:cs="Times New Roman"/>
          <w:bCs/>
          <w:color w:val="000000"/>
          <w:sz w:val="24"/>
          <w:szCs w:val="24"/>
        </w:rPr>
        <w:t>“</w:t>
      </w:r>
      <w:r w:rsidR="00FB0C30" w:rsidRPr="0043224D">
        <w:rPr>
          <w:rFonts w:ascii="Times New Roman" w:eastAsia="Times New Roman" w:hAnsi="Times New Roman" w:cs="Times New Roman"/>
          <w:bCs/>
          <w:color w:val="000000"/>
          <w:sz w:val="24"/>
          <w:szCs w:val="24"/>
        </w:rPr>
        <w:t>internal colonisation</w:t>
      </w:r>
      <w:r w:rsidR="00523D83" w:rsidRPr="0043224D">
        <w:rPr>
          <w:rFonts w:ascii="Times New Roman" w:eastAsia="Times New Roman" w:hAnsi="Times New Roman" w:cs="Times New Roman"/>
          <w:bCs/>
          <w:color w:val="000000"/>
          <w:sz w:val="24"/>
          <w:szCs w:val="24"/>
        </w:rPr>
        <w:t>”,</w:t>
      </w:r>
      <w:r w:rsidR="00E0049D" w:rsidRPr="0043224D">
        <w:rPr>
          <w:rFonts w:ascii="Times New Roman" w:eastAsia="Times New Roman" w:hAnsi="Times New Roman" w:cs="Times New Roman"/>
          <w:bCs/>
          <w:color w:val="000000"/>
          <w:sz w:val="24"/>
          <w:szCs w:val="24"/>
        </w:rPr>
        <w:t xml:space="preserve"> practiced by</w:t>
      </w:r>
      <w:r w:rsidR="00523D83" w:rsidRPr="0043224D">
        <w:rPr>
          <w:rFonts w:ascii="Times New Roman" w:eastAsia="Times New Roman" w:hAnsi="Times New Roman" w:cs="Times New Roman"/>
          <w:bCs/>
          <w:color w:val="000000"/>
          <w:sz w:val="24"/>
          <w:szCs w:val="24"/>
        </w:rPr>
        <w:t xml:space="preserve"> dominant</w:t>
      </w:r>
      <w:r w:rsidR="00E0049D" w:rsidRPr="0043224D">
        <w:rPr>
          <w:rFonts w:ascii="Times New Roman" w:eastAsia="Times New Roman" w:hAnsi="Times New Roman" w:cs="Times New Roman"/>
          <w:bCs/>
          <w:color w:val="000000"/>
          <w:sz w:val="24"/>
          <w:szCs w:val="24"/>
        </w:rPr>
        <w:t xml:space="preserve"> social, ethnic and economic groups, </w:t>
      </w:r>
      <w:r w:rsidR="00FB0C30" w:rsidRPr="0043224D">
        <w:rPr>
          <w:rFonts w:ascii="Times New Roman" w:eastAsia="Times New Roman" w:hAnsi="Times New Roman" w:cs="Times New Roman"/>
          <w:bCs/>
          <w:color w:val="000000"/>
          <w:sz w:val="24"/>
          <w:szCs w:val="24"/>
        </w:rPr>
        <w:t xml:space="preserve">with many of the same egregious impacts on indigenous peoples as elsewhere. In the </w:t>
      </w:r>
      <w:r w:rsidR="006A416B">
        <w:rPr>
          <w:rFonts w:ascii="Times New Roman" w:eastAsia="Times New Roman" w:hAnsi="Times New Roman" w:cs="Times New Roman"/>
          <w:bCs/>
          <w:color w:val="000000"/>
          <w:sz w:val="24"/>
          <w:szCs w:val="24"/>
        </w:rPr>
        <w:t>W</w:t>
      </w:r>
      <w:r w:rsidR="00FB0C30" w:rsidRPr="0043224D">
        <w:rPr>
          <w:rFonts w:ascii="Times New Roman" w:eastAsia="Times New Roman" w:hAnsi="Times New Roman" w:cs="Times New Roman"/>
          <w:bCs/>
          <w:color w:val="000000"/>
          <w:sz w:val="24"/>
          <w:szCs w:val="24"/>
        </w:rPr>
        <w:t>est,</w:t>
      </w:r>
      <w:r w:rsidR="00E0049D" w:rsidRPr="0043224D">
        <w:rPr>
          <w:rFonts w:ascii="Times New Roman" w:eastAsia="Times New Roman" w:hAnsi="Times New Roman" w:cs="Times New Roman"/>
          <w:bCs/>
          <w:color w:val="000000"/>
          <w:sz w:val="24"/>
          <w:szCs w:val="24"/>
        </w:rPr>
        <w:t xml:space="preserve"> as Baogang He observes,</w:t>
      </w:r>
      <w:r w:rsidR="00FB0C30" w:rsidRPr="0043224D">
        <w:rPr>
          <w:rFonts w:ascii="Times New Roman" w:eastAsia="Times New Roman" w:hAnsi="Times New Roman" w:cs="Times New Roman"/>
          <w:bCs/>
          <w:color w:val="000000"/>
          <w:sz w:val="24"/>
          <w:szCs w:val="24"/>
        </w:rPr>
        <w:t xml:space="preserve"> the legitimising and self-serving discourse of colon</w:t>
      </w:r>
      <w:r w:rsidR="006A416B">
        <w:rPr>
          <w:rFonts w:ascii="Times New Roman" w:eastAsia="Times New Roman" w:hAnsi="Times New Roman" w:cs="Times New Roman"/>
          <w:bCs/>
          <w:color w:val="000000"/>
          <w:sz w:val="24"/>
          <w:szCs w:val="24"/>
        </w:rPr>
        <w:t>ialism has largely disappeared (</w:t>
      </w:r>
      <w:r w:rsidR="00E0049D" w:rsidRPr="0043224D">
        <w:rPr>
          <w:rFonts w:ascii="Times New Roman" w:eastAsia="Times New Roman" w:hAnsi="Times New Roman" w:cs="Times New Roman"/>
          <w:bCs/>
          <w:color w:val="000000"/>
          <w:sz w:val="24"/>
          <w:szCs w:val="24"/>
        </w:rPr>
        <w:t xml:space="preserve">although this </w:t>
      </w:r>
      <w:r w:rsidR="006A416B">
        <w:rPr>
          <w:rFonts w:ascii="Times New Roman" w:eastAsia="Times New Roman" w:hAnsi="Times New Roman" w:cs="Times New Roman"/>
          <w:bCs/>
          <w:color w:val="000000"/>
          <w:sz w:val="24"/>
          <w:szCs w:val="24"/>
        </w:rPr>
        <w:t>may be a matter of some dispute).</w:t>
      </w:r>
      <w:r w:rsidR="00E0049D" w:rsidRPr="0043224D">
        <w:rPr>
          <w:rFonts w:ascii="Times New Roman" w:eastAsia="Times New Roman" w:hAnsi="Times New Roman" w:cs="Times New Roman"/>
          <w:bCs/>
          <w:color w:val="000000"/>
          <w:sz w:val="24"/>
          <w:szCs w:val="24"/>
        </w:rPr>
        <w:t xml:space="preserve"> </w:t>
      </w:r>
      <w:r w:rsidR="006A416B">
        <w:rPr>
          <w:rFonts w:ascii="Times New Roman" w:eastAsia="Times New Roman" w:hAnsi="Times New Roman" w:cs="Times New Roman"/>
          <w:bCs/>
          <w:color w:val="000000"/>
          <w:sz w:val="24"/>
          <w:szCs w:val="24"/>
        </w:rPr>
        <w:t xml:space="preserve">But </w:t>
      </w:r>
      <w:r w:rsidR="00FB0C30" w:rsidRPr="0043224D">
        <w:rPr>
          <w:rFonts w:ascii="Times New Roman" w:eastAsia="Times New Roman" w:hAnsi="Times New Roman" w:cs="Times New Roman"/>
          <w:bCs/>
          <w:color w:val="000000"/>
          <w:sz w:val="24"/>
          <w:szCs w:val="24"/>
        </w:rPr>
        <w:t>unfortunately</w:t>
      </w:r>
      <w:r w:rsidR="006A416B">
        <w:rPr>
          <w:rFonts w:ascii="Times New Roman" w:eastAsia="Times New Roman" w:hAnsi="Times New Roman" w:cs="Times New Roman"/>
          <w:bCs/>
          <w:color w:val="000000"/>
          <w:sz w:val="24"/>
          <w:szCs w:val="24"/>
        </w:rPr>
        <w:t>,</w:t>
      </w:r>
      <w:r w:rsidR="00294672" w:rsidRPr="0043224D">
        <w:rPr>
          <w:rFonts w:ascii="Times New Roman" w:eastAsia="Times New Roman" w:hAnsi="Times New Roman" w:cs="Times New Roman"/>
          <w:bCs/>
          <w:color w:val="000000"/>
          <w:sz w:val="24"/>
          <w:szCs w:val="24"/>
        </w:rPr>
        <w:t xml:space="preserve"> as</w:t>
      </w:r>
      <w:r w:rsidR="007E018D" w:rsidRPr="0043224D">
        <w:rPr>
          <w:rFonts w:ascii="Times New Roman" w:eastAsia="Times New Roman" w:hAnsi="Times New Roman" w:cs="Times New Roman"/>
          <w:bCs/>
          <w:color w:val="000000"/>
          <w:sz w:val="24"/>
          <w:szCs w:val="24"/>
        </w:rPr>
        <w:t xml:space="preserve"> he correctly notes</w:t>
      </w:r>
      <w:r w:rsidR="00FB0C30" w:rsidRPr="0043224D">
        <w:rPr>
          <w:rFonts w:ascii="Times New Roman" w:eastAsia="Times New Roman" w:hAnsi="Times New Roman" w:cs="Times New Roman"/>
          <w:bCs/>
          <w:color w:val="000000"/>
          <w:sz w:val="24"/>
          <w:szCs w:val="24"/>
        </w:rPr>
        <w:t xml:space="preserve">, the same cannot be said of many Asian states where the </w:t>
      </w:r>
      <w:r w:rsidR="002C0F74" w:rsidRPr="0043224D">
        <w:rPr>
          <w:rFonts w:ascii="Times New Roman" w:eastAsia="Times New Roman" w:hAnsi="Times New Roman" w:cs="Times New Roman"/>
          <w:bCs/>
          <w:color w:val="000000"/>
          <w:sz w:val="24"/>
          <w:szCs w:val="24"/>
        </w:rPr>
        <w:t>self-imposed burden of “civilising the margins”</w:t>
      </w:r>
      <w:r w:rsidR="006A416B">
        <w:rPr>
          <w:rFonts w:ascii="Times New Roman" w:eastAsia="Times New Roman" w:hAnsi="Times New Roman" w:cs="Times New Roman"/>
          <w:bCs/>
          <w:color w:val="000000"/>
          <w:sz w:val="24"/>
          <w:szCs w:val="24"/>
        </w:rPr>
        <w:t xml:space="preserve"> is still very much part of</w:t>
      </w:r>
      <w:r w:rsidR="007E018D" w:rsidRPr="0043224D">
        <w:rPr>
          <w:rFonts w:ascii="Times New Roman" w:eastAsia="Times New Roman" w:hAnsi="Times New Roman" w:cs="Times New Roman"/>
          <w:bCs/>
          <w:color w:val="000000"/>
          <w:sz w:val="24"/>
          <w:szCs w:val="24"/>
        </w:rPr>
        <w:t xml:space="preserve"> </w:t>
      </w:r>
      <w:r w:rsidR="002C0F74" w:rsidRPr="0043224D">
        <w:rPr>
          <w:rFonts w:ascii="Times New Roman" w:eastAsia="Times New Roman" w:hAnsi="Times New Roman" w:cs="Times New Roman"/>
          <w:bCs/>
          <w:color w:val="000000"/>
          <w:sz w:val="24"/>
          <w:szCs w:val="24"/>
        </w:rPr>
        <w:t>development discourse</w:t>
      </w:r>
      <w:r w:rsidR="00E0049D" w:rsidRPr="0043224D">
        <w:rPr>
          <w:rFonts w:ascii="Times New Roman" w:eastAsia="Times New Roman" w:hAnsi="Times New Roman" w:cs="Times New Roman"/>
          <w:bCs/>
          <w:color w:val="000000"/>
          <w:sz w:val="24"/>
          <w:szCs w:val="24"/>
        </w:rPr>
        <w:t xml:space="preserve">, not least in relation to civilising those on </w:t>
      </w:r>
      <w:r w:rsidR="007E018D" w:rsidRPr="0043224D">
        <w:rPr>
          <w:rFonts w:ascii="Times New Roman" w:eastAsia="Times New Roman" w:hAnsi="Times New Roman" w:cs="Times New Roman"/>
          <w:bCs/>
          <w:color w:val="000000"/>
          <w:sz w:val="24"/>
          <w:szCs w:val="24"/>
        </w:rPr>
        <w:t>the ethnic, cultural and geographical margins.</w:t>
      </w:r>
      <w:r w:rsidR="002C0F74" w:rsidRPr="0043224D">
        <w:rPr>
          <w:rStyle w:val="FootnoteReference"/>
          <w:rFonts w:ascii="Times New Roman" w:eastAsia="Times New Roman" w:hAnsi="Times New Roman" w:cs="Times New Roman"/>
          <w:bCs/>
          <w:color w:val="000000"/>
          <w:sz w:val="24"/>
          <w:szCs w:val="24"/>
        </w:rPr>
        <w:footnoteReference w:id="30"/>
      </w:r>
      <w:r w:rsidR="006A416B">
        <w:rPr>
          <w:rFonts w:ascii="Times New Roman" w:eastAsia="Times New Roman" w:hAnsi="Times New Roman" w:cs="Times New Roman"/>
          <w:bCs/>
          <w:color w:val="000000"/>
          <w:sz w:val="24"/>
          <w:szCs w:val="24"/>
        </w:rPr>
        <w:t xml:space="preserve"> </w:t>
      </w:r>
    </w:p>
    <w:p w:rsidR="00510F20" w:rsidRPr="0043224D" w:rsidRDefault="0037358C" w:rsidP="00060EEC">
      <w:pPr>
        <w:spacing w:before="100" w:beforeAutospacing="1" w:after="100" w:afterAutospacing="1" w:line="360" w:lineRule="auto"/>
        <w:ind w:firstLine="720"/>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 xml:space="preserve">Likewise </w:t>
      </w:r>
      <w:r w:rsidR="00436208" w:rsidRPr="0043224D">
        <w:rPr>
          <w:rFonts w:ascii="Times New Roman" w:eastAsia="Times New Roman" w:hAnsi="Times New Roman" w:cs="Times New Roman"/>
          <w:bCs/>
          <w:color w:val="000000"/>
          <w:sz w:val="24"/>
          <w:szCs w:val="24"/>
        </w:rPr>
        <w:t>i</w:t>
      </w:r>
      <w:r w:rsidR="00AE4515" w:rsidRPr="0043224D">
        <w:rPr>
          <w:rFonts w:ascii="Times New Roman" w:eastAsia="Times New Roman" w:hAnsi="Times New Roman" w:cs="Times New Roman"/>
          <w:bCs/>
          <w:color w:val="000000"/>
          <w:sz w:val="24"/>
          <w:szCs w:val="24"/>
        </w:rPr>
        <w:t>n Africa</w:t>
      </w:r>
      <w:r w:rsidRPr="0043224D">
        <w:rPr>
          <w:rFonts w:ascii="Times New Roman" w:eastAsia="Times New Roman" w:hAnsi="Times New Roman" w:cs="Times New Roman"/>
          <w:bCs/>
          <w:color w:val="000000"/>
          <w:sz w:val="24"/>
          <w:szCs w:val="24"/>
        </w:rPr>
        <w:t>,</w:t>
      </w:r>
      <w:r w:rsidR="00AE4515" w:rsidRPr="0043224D">
        <w:rPr>
          <w:rFonts w:ascii="Times New Roman" w:eastAsia="Times New Roman" w:hAnsi="Times New Roman" w:cs="Times New Roman"/>
          <w:bCs/>
          <w:color w:val="000000"/>
          <w:sz w:val="24"/>
          <w:szCs w:val="24"/>
        </w:rPr>
        <w:t xml:space="preserve"> there </w:t>
      </w:r>
      <w:r w:rsidR="00D872C7" w:rsidRPr="0043224D">
        <w:rPr>
          <w:rFonts w:ascii="Times New Roman" w:eastAsia="Times New Roman" w:hAnsi="Times New Roman" w:cs="Times New Roman"/>
          <w:bCs/>
          <w:color w:val="000000"/>
          <w:sz w:val="24"/>
          <w:szCs w:val="24"/>
        </w:rPr>
        <w:t>is</w:t>
      </w:r>
      <w:r w:rsidR="00AE4515" w:rsidRPr="0043224D">
        <w:rPr>
          <w:rFonts w:ascii="Times New Roman" w:eastAsia="Times New Roman" w:hAnsi="Times New Roman" w:cs="Times New Roman"/>
          <w:bCs/>
          <w:color w:val="000000"/>
          <w:sz w:val="24"/>
          <w:szCs w:val="24"/>
        </w:rPr>
        <w:t xml:space="preserve"> controversy over definition</w:t>
      </w:r>
      <w:r w:rsidR="00D872C7" w:rsidRPr="0043224D">
        <w:rPr>
          <w:rFonts w:ascii="Times New Roman" w:eastAsia="Times New Roman" w:hAnsi="Times New Roman" w:cs="Times New Roman"/>
          <w:bCs/>
          <w:color w:val="000000"/>
          <w:sz w:val="24"/>
          <w:szCs w:val="24"/>
        </w:rPr>
        <w:t>s</w:t>
      </w:r>
      <w:r w:rsidR="00AE4515" w:rsidRPr="0043224D">
        <w:rPr>
          <w:rFonts w:ascii="Times New Roman" w:eastAsia="Times New Roman" w:hAnsi="Times New Roman" w:cs="Times New Roman"/>
          <w:bCs/>
          <w:color w:val="000000"/>
          <w:sz w:val="24"/>
          <w:szCs w:val="24"/>
        </w:rPr>
        <w:t xml:space="preserve"> of indigenous</w:t>
      </w:r>
      <w:r w:rsidR="00436208" w:rsidRPr="0043224D">
        <w:rPr>
          <w:rFonts w:ascii="Times New Roman" w:eastAsia="Times New Roman" w:hAnsi="Times New Roman" w:cs="Times New Roman"/>
          <w:bCs/>
          <w:color w:val="000000"/>
          <w:sz w:val="24"/>
          <w:szCs w:val="24"/>
        </w:rPr>
        <w:t>ness</w:t>
      </w:r>
      <w:r w:rsidRPr="0043224D">
        <w:rPr>
          <w:rFonts w:ascii="Times New Roman" w:eastAsia="Times New Roman" w:hAnsi="Times New Roman" w:cs="Times New Roman"/>
          <w:bCs/>
          <w:color w:val="000000"/>
          <w:sz w:val="24"/>
          <w:szCs w:val="24"/>
        </w:rPr>
        <w:t>,</w:t>
      </w:r>
      <w:r w:rsidR="00AE4515" w:rsidRPr="0043224D">
        <w:rPr>
          <w:rFonts w:ascii="Times New Roman" w:eastAsia="Times New Roman" w:hAnsi="Times New Roman" w:cs="Times New Roman"/>
          <w:bCs/>
          <w:color w:val="000000"/>
          <w:sz w:val="24"/>
          <w:szCs w:val="24"/>
        </w:rPr>
        <w:t xml:space="preserve"> where several states have contested the term arguing that it is not applicable</w:t>
      </w:r>
      <w:r w:rsidR="003D001A" w:rsidRPr="0043224D">
        <w:rPr>
          <w:rFonts w:ascii="Times New Roman" w:eastAsia="Times New Roman" w:hAnsi="Times New Roman" w:cs="Times New Roman"/>
          <w:bCs/>
          <w:color w:val="000000"/>
          <w:sz w:val="24"/>
          <w:szCs w:val="24"/>
        </w:rPr>
        <w:t xml:space="preserve"> in the African context</w:t>
      </w:r>
      <w:r w:rsidR="00A1056B" w:rsidRPr="0043224D">
        <w:rPr>
          <w:rFonts w:ascii="Times New Roman" w:eastAsia="Times New Roman" w:hAnsi="Times New Roman" w:cs="Times New Roman"/>
          <w:bCs/>
          <w:color w:val="000000"/>
          <w:sz w:val="24"/>
          <w:szCs w:val="24"/>
        </w:rPr>
        <w:t>.</w:t>
      </w:r>
      <w:r w:rsidR="00AE4515" w:rsidRPr="0043224D">
        <w:rPr>
          <w:rFonts w:ascii="Times New Roman" w:eastAsia="Times New Roman" w:hAnsi="Times New Roman" w:cs="Times New Roman"/>
          <w:bCs/>
          <w:color w:val="000000"/>
          <w:sz w:val="24"/>
          <w:szCs w:val="24"/>
        </w:rPr>
        <w:t xml:space="preserve"> </w:t>
      </w:r>
      <w:r w:rsidR="00A1056B" w:rsidRPr="0043224D">
        <w:rPr>
          <w:rFonts w:ascii="Times New Roman" w:eastAsia="Times New Roman" w:hAnsi="Times New Roman" w:cs="Times New Roman"/>
          <w:bCs/>
          <w:color w:val="000000"/>
          <w:sz w:val="24"/>
          <w:szCs w:val="24"/>
        </w:rPr>
        <w:t>A</w:t>
      </w:r>
      <w:r w:rsidR="00AE4515" w:rsidRPr="0043224D">
        <w:rPr>
          <w:rFonts w:ascii="Times New Roman" w:eastAsia="Times New Roman" w:hAnsi="Times New Roman" w:cs="Times New Roman"/>
          <w:bCs/>
          <w:color w:val="000000"/>
          <w:sz w:val="24"/>
          <w:szCs w:val="24"/>
        </w:rPr>
        <w:t>n argument regarded by some observers as having more to with the political fallout of recognising indigenous peoples as</w:t>
      </w:r>
      <w:r w:rsidR="0049319B" w:rsidRPr="0043224D">
        <w:rPr>
          <w:rFonts w:ascii="Times New Roman" w:eastAsia="Times New Roman" w:hAnsi="Times New Roman" w:cs="Times New Roman"/>
          <w:bCs/>
          <w:color w:val="000000"/>
          <w:sz w:val="24"/>
          <w:szCs w:val="24"/>
        </w:rPr>
        <w:t xml:space="preserve"> distinct</w:t>
      </w:r>
      <w:r w:rsidR="00AE4515" w:rsidRPr="0043224D">
        <w:rPr>
          <w:rFonts w:ascii="Times New Roman" w:eastAsia="Times New Roman" w:hAnsi="Times New Roman" w:cs="Times New Roman"/>
          <w:bCs/>
          <w:color w:val="000000"/>
          <w:sz w:val="24"/>
          <w:szCs w:val="24"/>
        </w:rPr>
        <w:t xml:space="preserve"> ethnic groups</w:t>
      </w:r>
      <w:r w:rsidR="003D001A" w:rsidRPr="0043224D">
        <w:rPr>
          <w:rFonts w:ascii="Times New Roman" w:eastAsia="Times New Roman" w:hAnsi="Times New Roman" w:cs="Times New Roman"/>
          <w:bCs/>
          <w:color w:val="000000"/>
          <w:sz w:val="24"/>
          <w:szCs w:val="24"/>
        </w:rPr>
        <w:t>, and the rights</w:t>
      </w:r>
      <w:r w:rsidR="0049319B" w:rsidRPr="0043224D">
        <w:rPr>
          <w:rFonts w:ascii="Times New Roman" w:eastAsia="Times New Roman" w:hAnsi="Times New Roman" w:cs="Times New Roman"/>
          <w:bCs/>
          <w:color w:val="000000"/>
          <w:sz w:val="24"/>
          <w:szCs w:val="24"/>
        </w:rPr>
        <w:t>-claims</w:t>
      </w:r>
      <w:r w:rsidR="003D001A" w:rsidRPr="0043224D">
        <w:rPr>
          <w:rFonts w:ascii="Times New Roman" w:eastAsia="Times New Roman" w:hAnsi="Times New Roman" w:cs="Times New Roman"/>
          <w:bCs/>
          <w:color w:val="000000"/>
          <w:sz w:val="24"/>
          <w:szCs w:val="24"/>
        </w:rPr>
        <w:t xml:space="preserve"> that </w:t>
      </w:r>
      <w:r w:rsidRPr="0043224D">
        <w:rPr>
          <w:rFonts w:ascii="Times New Roman" w:eastAsia="Times New Roman" w:hAnsi="Times New Roman" w:cs="Times New Roman"/>
          <w:bCs/>
          <w:color w:val="000000"/>
          <w:sz w:val="24"/>
          <w:szCs w:val="24"/>
        </w:rPr>
        <w:t>may</w:t>
      </w:r>
      <w:r w:rsidR="003D001A" w:rsidRPr="0043224D">
        <w:rPr>
          <w:rFonts w:ascii="Times New Roman" w:eastAsia="Times New Roman" w:hAnsi="Times New Roman" w:cs="Times New Roman"/>
          <w:bCs/>
          <w:color w:val="000000"/>
          <w:sz w:val="24"/>
          <w:szCs w:val="24"/>
        </w:rPr>
        <w:t xml:space="preserve"> emerge from </w:t>
      </w:r>
      <w:r w:rsidRPr="0043224D">
        <w:rPr>
          <w:rFonts w:ascii="Times New Roman" w:eastAsia="Times New Roman" w:hAnsi="Times New Roman" w:cs="Times New Roman"/>
          <w:bCs/>
          <w:color w:val="000000"/>
          <w:sz w:val="24"/>
          <w:szCs w:val="24"/>
        </w:rPr>
        <w:t>the</w:t>
      </w:r>
      <w:r w:rsidR="0065561A" w:rsidRPr="0043224D">
        <w:rPr>
          <w:rFonts w:ascii="Times New Roman" w:eastAsia="Times New Roman" w:hAnsi="Times New Roman" w:cs="Times New Roman"/>
          <w:bCs/>
          <w:color w:val="000000"/>
          <w:sz w:val="24"/>
          <w:szCs w:val="24"/>
        </w:rPr>
        <w:t xml:space="preserve"> </w:t>
      </w:r>
      <w:r w:rsidRPr="0043224D">
        <w:rPr>
          <w:rFonts w:ascii="Times New Roman" w:eastAsia="Times New Roman" w:hAnsi="Times New Roman" w:cs="Times New Roman"/>
          <w:bCs/>
          <w:color w:val="000000"/>
          <w:sz w:val="24"/>
          <w:szCs w:val="24"/>
        </w:rPr>
        <w:t>attendant</w:t>
      </w:r>
      <w:r w:rsidR="00E73FEF" w:rsidRPr="0043224D">
        <w:rPr>
          <w:rFonts w:ascii="Times New Roman" w:eastAsia="Times New Roman" w:hAnsi="Times New Roman" w:cs="Times New Roman"/>
          <w:bCs/>
          <w:color w:val="000000"/>
          <w:sz w:val="24"/>
          <w:szCs w:val="24"/>
        </w:rPr>
        <w:t xml:space="preserve"> legal recognition.</w:t>
      </w:r>
      <w:r w:rsidR="003D001A" w:rsidRPr="0043224D">
        <w:rPr>
          <w:rStyle w:val="FootnoteReference"/>
          <w:rFonts w:ascii="Times New Roman" w:eastAsia="Times New Roman" w:hAnsi="Times New Roman" w:cs="Times New Roman"/>
          <w:bCs/>
          <w:color w:val="000000"/>
          <w:sz w:val="24"/>
          <w:szCs w:val="24"/>
        </w:rPr>
        <w:footnoteReference w:id="31"/>
      </w:r>
      <w:r w:rsidR="00675F69" w:rsidRPr="0043224D">
        <w:rPr>
          <w:rFonts w:ascii="Times New Roman" w:eastAsia="Times New Roman" w:hAnsi="Times New Roman" w:cs="Times New Roman"/>
          <w:bCs/>
          <w:color w:val="000000"/>
          <w:sz w:val="24"/>
          <w:szCs w:val="24"/>
        </w:rPr>
        <w:t xml:space="preserve"> </w:t>
      </w:r>
      <w:r w:rsidR="006A416B">
        <w:rPr>
          <w:rFonts w:ascii="Times New Roman" w:eastAsia="Times New Roman" w:hAnsi="Times New Roman" w:cs="Times New Roman"/>
          <w:bCs/>
          <w:color w:val="000000"/>
          <w:sz w:val="24"/>
          <w:szCs w:val="24"/>
        </w:rPr>
        <w:t xml:space="preserve">Also worthy of note, </w:t>
      </w:r>
      <w:r w:rsidR="00A1056B" w:rsidRPr="0043224D">
        <w:rPr>
          <w:rFonts w:ascii="Times New Roman" w:eastAsia="Times New Roman" w:hAnsi="Times New Roman" w:cs="Times New Roman"/>
          <w:bCs/>
          <w:color w:val="000000"/>
          <w:sz w:val="24"/>
          <w:szCs w:val="24"/>
        </w:rPr>
        <w:t xml:space="preserve">African </w:t>
      </w:r>
      <w:r w:rsidR="00282E04" w:rsidRPr="0043224D">
        <w:rPr>
          <w:rFonts w:ascii="Times New Roman" w:eastAsia="Times New Roman" w:hAnsi="Times New Roman" w:cs="Times New Roman"/>
          <w:bCs/>
          <w:color w:val="000000"/>
          <w:sz w:val="24"/>
          <w:szCs w:val="24"/>
        </w:rPr>
        <w:t>scepticism</w:t>
      </w:r>
      <w:r w:rsidR="00A1056B" w:rsidRPr="0043224D">
        <w:rPr>
          <w:rFonts w:ascii="Times New Roman" w:eastAsia="Times New Roman" w:hAnsi="Times New Roman" w:cs="Times New Roman"/>
          <w:bCs/>
          <w:color w:val="000000"/>
          <w:sz w:val="24"/>
          <w:szCs w:val="24"/>
        </w:rPr>
        <w:t xml:space="preserve"> came to the fore in the Draft Declaratio</w:t>
      </w:r>
      <w:r w:rsidR="0049319B" w:rsidRPr="0043224D">
        <w:rPr>
          <w:rFonts w:ascii="Times New Roman" w:eastAsia="Times New Roman" w:hAnsi="Times New Roman" w:cs="Times New Roman"/>
          <w:bCs/>
          <w:color w:val="000000"/>
          <w:sz w:val="24"/>
          <w:szCs w:val="24"/>
        </w:rPr>
        <w:t xml:space="preserve">n of the UNDRIP, where many </w:t>
      </w:r>
      <w:r w:rsidR="006A416B">
        <w:rPr>
          <w:rFonts w:ascii="Times New Roman" w:eastAsia="Times New Roman" w:hAnsi="Times New Roman" w:cs="Times New Roman"/>
          <w:bCs/>
          <w:color w:val="000000"/>
          <w:sz w:val="24"/>
          <w:szCs w:val="24"/>
        </w:rPr>
        <w:t>state</w:t>
      </w:r>
      <w:r w:rsidR="0049319B" w:rsidRPr="0043224D">
        <w:rPr>
          <w:rFonts w:ascii="Times New Roman" w:eastAsia="Times New Roman" w:hAnsi="Times New Roman" w:cs="Times New Roman"/>
          <w:bCs/>
          <w:color w:val="000000"/>
          <w:sz w:val="24"/>
          <w:szCs w:val="24"/>
        </w:rPr>
        <w:t xml:space="preserve"> representatives</w:t>
      </w:r>
      <w:r w:rsidR="00D872C7" w:rsidRPr="0043224D">
        <w:rPr>
          <w:rFonts w:ascii="Times New Roman" w:eastAsia="Times New Roman" w:hAnsi="Times New Roman" w:cs="Times New Roman"/>
          <w:bCs/>
          <w:color w:val="000000"/>
          <w:sz w:val="24"/>
          <w:szCs w:val="24"/>
        </w:rPr>
        <w:t xml:space="preserve"> were</w:t>
      </w:r>
      <w:r w:rsidR="00A1056B" w:rsidRPr="0043224D">
        <w:rPr>
          <w:rFonts w:ascii="Times New Roman" w:eastAsia="Times New Roman" w:hAnsi="Times New Roman" w:cs="Times New Roman"/>
          <w:bCs/>
          <w:color w:val="000000"/>
          <w:sz w:val="24"/>
          <w:szCs w:val="24"/>
        </w:rPr>
        <w:t xml:space="preserve"> </w:t>
      </w:r>
      <w:r w:rsidR="00D872C7" w:rsidRPr="0043224D">
        <w:rPr>
          <w:rFonts w:ascii="Times New Roman" w:eastAsia="Times New Roman" w:hAnsi="Times New Roman" w:cs="Times New Roman"/>
          <w:bCs/>
          <w:color w:val="000000"/>
          <w:sz w:val="24"/>
          <w:szCs w:val="24"/>
        </w:rPr>
        <w:t xml:space="preserve">apprehensive </w:t>
      </w:r>
      <w:r w:rsidR="00A1056B" w:rsidRPr="0043224D">
        <w:rPr>
          <w:rFonts w:ascii="Times New Roman" w:eastAsia="Times New Roman" w:hAnsi="Times New Roman" w:cs="Times New Roman"/>
          <w:bCs/>
          <w:color w:val="000000"/>
          <w:sz w:val="24"/>
          <w:szCs w:val="24"/>
        </w:rPr>
        <w:t>that indigenous peoples claims to collective rights</w:t>
      </w:r>
      <w:r w:rsidR="001A70A9" w:rsidRPr="0043224D">
        <w:rPr>
          <w:rFonts w:ascii="Times New Roman" w:eastAsia="Times New Roman" w:hAnsi="Times New Roman" w:cs="Times New Roman"/>
          <w:bCs/>
          <w:color w:val="000000"/>
          <w:sz w:val="24"/>
          <w:szCs w:val="24"/>
        </w:rPr>
        <w:t xml:space="preserve"> </w:t>
      </w:r>
      <w:r w:rsidR="00A1056B" w:rsidRPr="0043224D">
        <w:rPr>
          <w:rFonts w:ascii="Times New Roman" w:eastAsia="Times New Roman" w:hAnsi="Times New Roman" w:cs="Times New Roman"/>
          <w:bCs/>
          <w:color w:val="000000"/>
          <w:sz w:val="24"/>
          <w:szCs w:val="24"/>
        </w:rPr>
        <w:t>might threaten, “</w:t>
      </w:r>
      <w:r w:rsidR="008C72BB" w:rsidRPr="0043224D">
        <w:rPr>
          <w:rFonts w:ascii="Times New Roman" w:eastAsia="Times New Roman" w:hAnsi="Times New Roman" w:cs="Times New Roman"/>
          <w:bCs/>
          <w:color w:val="000000"/>
          <w:sz w:val="24"/>
          <w:szCs w:val="24"/>
        </w:rPr>
        <w:t>[T]he</w:t>
      </w:r>
      <w:r w:rsidR="00A1056B" w:rsidRPr="0043224D">
        <w:rPr>
          <w:rFonts w:ascii="Times New Roman" w:eastAsia="Times New Roman" w:hAnsi="Times New Roman" w:cs="Times New Roman"/>
          <w:bCs/>
          <w:color w:val="000000"/>
          <w:sz w:val="24"/>
          <w:szCs w:val="24"/>
        </w:rPr>
        <w:t xml:space="preserve"> political unity and territorial integrity of any [African] country”.</w:t>
      </w:r>
      <w:r w:rsidR="00A1056B" w:rsidRPr="0043224D">
        <w:rPr>
          <w:rStyle w:val="FootnoteReference"/>
          <w:rFonts w:ascii="Times New Roman" w:eastAsia="Times New Roman" w:hAnsi="Times New Roman" w:cs="Times New Roman"/>
          <w:bCs/>
          <w:color w:val="000000"/>
          <w:sz w:val="24"/>
          <w:szCs w:val="24"/>
        </w:rPr>
        <w:footnoteReference w:id="32"/>
      </w:r>
      <w:r w:rsidR="00A1056B" w:rsidRPr="0043224D">
        <w:rPr>
          <w:rFonts w:ascii="Times New Roman" w:eastAsia="Times New Roman" w:hAnsi="Times New Roman" w:cs="Times New Roman"/>
          <w:bCs/>
          <w:color w:val="000000"/>
          <w:sz w:val="24"/>
          <w:szCs w:val="24"/>
        </w:rPr>
        <w:t xml:space="preserve"> </w:t>
      </w:r>
    </w:p>
    <w:p w:rsidR="00997D7E" w:rsidRPr="0043224D" w:rsidRDefault="00510F20" w:rsidP="00060EEC">
      <w:pPr>
        <w:spacing w:before="100" w:beforeAutospacing="1" w:after="100" w:afterAutospacing="1" w:line="360" w:lineRule="auto"/>
        <w:ind w:firstLine="720"/>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Nonetheless,</w:t>
      </w:r>
      <w:r w:rsidR="003D001A" w:rsidRPr="0043224D">
        <w:rPr>
          <w:rFonts w:ascii="Times New Roman" w:eastAsia="Times New Roman" w:hAnsi="Times New Roman" w:cs="Times New Roman"/>
          <w:bCs/>
          <w:color w:val="000000"/>
          <w:sz w:val="24"/>
          <w:szCs w:val="24"/>
        </w:rPr>
        <w:t xml:space="preserve"> generally</w:t>
      </w:r>
      <w:r w:rsidR="00981CD0" w:rsidRPr="0043224D">
        <w:rPr>
          <w:rFonts w:ascii="Times New Roman" w:eastAsia="Times New Roman" w:hAnsi="Times New Roman" w:cs="Times New Roman"/>
          <w:bCs/>
          <w:color w:val="000000"/>
          <w:sz w:val="24"/>
          <w:szCs w:val="24"/>
        </w:rPr>
        <w:t>,</w:t>
      </w:r>
      <w:r w:rsidR="00AE4515" w:rsidRPr="0043224D">
        <w:rPr>
          <w:rFonts w:ascii="Times New Roman" w:eastAsia="Times New Roman" w:hAnsi="Times New Roman" w:cs="Times New Roman"/>
          <w:bCs/>
          <w:color w:val="000000"/>
          <w:sz w:val="24"/>
          <w:szCs w:val="24"/>
        </w:rPr>
        <w:t xml:space="preserve"> the majority of </w:t>
      </w:r>
      <w:r w:rsidR="00981CD0" w:rsidRPr="0043224D">
        <w:rPr>
          <w:rFonts w:ascii="Times New Roman" w:eastAsia="Times New Roman" w:hAnsi="Times New Roman" w:cs="Times New Roman"/>
          <w:bCs/>
          <w:color w:val="000000"/>
          <w:sz w:val="24"/>
          <w:szCs w:val="24"/>
        </w:rPr>
        <w:t>tribal and traditional minorities, who are culturally, spiritually, and linguistically distinct from the majority populations</w:t>
      </w:r>
      <w:r w:rsidR="00AE4515" w:rsidRPr="0043224D">
        <w:rPr>
          <w:rFonts w:ascii="Times New Roman" w:eastAsia="Times New Roman" w:hAnsi="Times New Roman" w:cs="Times New Roman"/>
          <w:bCs/>
          <w:color w:val="000000"/>
          <w:sz w:val="24"/>
          <w:szCs w:val="24"/>
        </w:rPr>
        <w:t xml:space="preserve"> in Africa and Asia</w:t>
      </w:r>
      <w:r w:rsidR="00981CD0" w:rsidRPr="0043224D">
        <w:rPr>
          <w:rFonts w:ascii="Times New Roman" w:eastAsia="Times New Roman" w:hAnsi="Times New Roman" w:cs="Times New Roman"/>
          <w:bCs/>
          <w:color w:val="000000"/>
          <w:sz w:val="24"/>
          <w:szCs w:val="24"/>
        </w:rPr>
        <w:t>,</w:t>
      </w:r>
      <w:r w:rsidR="00997D7E" w:rsidRPr="0043224D">
        <w:rPr>
          <w:rStyle w:val="FootnoteReference"/>
          <w:rFonts w:ascii="Times New Roman" w:eastAsia="Times New Roman" w:hAnsi="Times New Roman" w:cs="Times New Roman"/>
          <w:bCs/>
          <w:color w:val="000000"/>
          <w:sz w:val="24"/>
          <w:szCs w:val="24"/>
        </w:rPr>
        <w:footnoteReference w:id="33"/>
      </w:r>
      <w:r w:rsidR="00997D7E" w:rsidRPr="0043224D">
        <w:rPr>
          <w:rFonts w:ascii="Times New Roman" w:eastAsia="Times New Roman" w:hAnsi="Times New Roman" w:cs="Times New Roman"/>
          <w:bCs/>
          <w:color w:val="000000"/>
          <w:sz w:val="24"/>
          <w:szCs w:val="24"/>
        </w:rPr>
        <w:t xml:space="preserve"> </w:t>
      </w:r>
      <w:r w:rsidR="00AE4515" w:rsidRPr="0043224D">
        <w:rPr>
          <w:rFonts w:ascii="Times New Roman" w:eastAsia="Times New Roman" w:hAnsi="Times New Roman" w:cs="Times New Roman"/>
          <w:bCs/>
          <w:color w:val="000000"/>
          <w:sz w:val="24"/>
          <w:szCs w:val="24"/>
        </w:rPr>
        <w:t xml:space="preserve"> now</w:t>
      </w:r>
      <w:r w:rsidR="003850AC" w:rsidRPr="0043224D">
        <w:rPr>
          <w:rFonts w:ascii="Times New Roman" w:eastAsia="Times New Roman" w:hAnsi="Times New Roman" w:cs="Times New Roman"/>
          <w:bCs/>
          <w:color w:val="000000"/>
          <w:sz w:val="24"/>
          <w:szCs w:val="24"/>
        </w:rPr>
        <w:t xml:space="preserve"> regard themselves and self-identify as indigenous</w:t>
      </w:r>
      <w:r w:rsidR="00DD1D0D" w:rsidRPr="0043224D">
        <w:rPr>
          <w:rFonts w:ascii="Times New Roman" w:eastAsia="Times New Roman" w:hAnsi="Times New Roman" w:cs="Times New Roman"/>
          <w:bCs/>
          <w:color w:val="000000"/>
          <w:sz w:val="24"/>
          <w:szCs w:val="24"/>
        </w:rPr>
        <w:t xml:space="preserve"> peoples</w:t>
      </w:r>
      <w:r w:rsidR="00914568" w:rsidRPr="0043224D">
        <w:rPr>
          <w:rFonts w:ascii="Times New Roman" w:eastAsia="Times New Roman" w:hAnsi="Times New Roman" w:cs="Times New Roman"/>
          <w:bCs/>
          <w:color w:val="000000"/>
          <w:sz w:val="24"/>
          <w:szCs w:val="24"/>
        </w:rPr>
        <w:t>.</w:t>
      </w:r>
      <w:r w:rsidR="003850AC" w:rsidRPr="0043224D">
        <w:rPr>
          <w:rFonts w:ascii="Times New Roman" w:eastAsia="Times New Roman" w:hAnsi="Times New Roman" w:cs="Times New Roman"/>
          <w:bCs/>
          <w:color w:val="000000"/>
          <w:sz w:val="24"/>
          <w:szCs w:val="24"/>
        </w:rPr>
        <w:t xml:space="preserve"> </w:t>
      </w:r>
      <w:r w:rsidR="00914568" w:rsidRPr="0043224D">
        <w:rPr>
          <w:rFonts w:ascii="Times New Roman" w:eastAsia="Times New Roman" w:hAnsi="Times New Roman" w:cs="Times New Roman"/>
          <w:bCs/>
          <w:color w:val="000000"/>
          <w:sz w:val="24"/>
          <w:szCs w:val="24"/>
        </w:rPr>
        <w:t xml:space="preserve">Mostly this view has been taken for </w:t>
      </w:r>
      <w:r w:rsidR="003850AC" w:rsidRPr="0043224D">
        <w:rPr>
          <w:rFonts w:ascii="Times New Roman" w:eastAsia="Times New Roman" w:hAnsi="Times New Roman" w:cs="Times New Roman"/>
          <w:bCs/>
          <w:color w:val="000000"/>
          <w:sz w:val="24"/>
          <w:szCs w:val="24"/>
        </w:rPr>
        <w:t>pr</w:t>
      </w:r>
      <w:r w:rsidR="00997D7E" w:rsidRPr="0043224D">
        <w:rPr>
          <w:rFonts w:ascii="Times New Roman" w:eastAsia="Times New Roman" w:hAnsi="Times New Roman" w:cs="Times New Roman"/>
          <w:bCs/>
          <w:color w:val="000000"/>
          <w:sz w:val="24"/>
          <w:szCs w:val="24"/>
        </w:rPr>
        <w:t>agmatic</w:t>
      </w:r>
      <w:r w:rsidR="003850AC" w:rsidRPr="0043224D">
        <w:rPr>
          <w:rFonts w:ascii="Times New Roman" w:eastAsia="Times New Roman" w:hAnsi="Times New Roman" w:cs="Times New Roman"/>
          <w:bCs/>
          <w:color w:val="000000"/>
          <w:sz w:val="24"/>
          <w:szCs w:val="24"/>
        </w:rPr>
        <w:t xml:space="preserve"> reasons</w:t>
      </w:r>
      <w:r w:rsidR="00997D7E" w:rsidRPr="0043224D">
        <w:rPr>
          <w:rFonts w:ascii="Times New Roman" w:eastAsia="Times New Roman" w:hAnsi="Times New Roman" w:cs="Times New Roman"/>
          <w:bCs/>
          <w:color w:val="000000"/>
          <w:sz w:val="24"/>
          <w:szCs w:val="24"/>
        </w:rPr>
        <w:t xml:space="preserve"> in dealings with the institutions of the state, but more often as the term indigenous has increasingly gained global providence in international human rights discourse.</w:t>
      </w:r>
      <w:r w:rsidR="00997D7E" w:rsidRPr="0043224D">
        <w:rPr>
          <w:rStyle w:val="FootnoteReference"/>
          <w:rFonts w:ascii="Times New Roman" w:eastAsia="Times New Roman" w:hAnsi="Times New Roman" w:cs="Times New Roman"/>
          <w:bCs/>
          <w:color w:val="000000"/>
          <w:sz w:val="24"/>
          <w:szCs w:val="24"/>
        </w:rPr>
        <w:footnoteReference w:id="34"/>
      </w:r>
      <w:r w:rsidR="00997D7E" w:rsidRPr="0043224D">
        <w:rPr>
          <w:rFonts w:ascii="Times New Roman" w:eastAsia="Times New Roman" w:hAnsi="Times New Roman" w:cs="Times New Roman"/>
          <w:bCs/>
          <w:color w:val="000000"/>
          <w:sz w:val="24"/>
          <w:szCs w:val="24"/>
        </w:rPr>
        <w:t xml:space="preserve"> These groups may not be indigenous to the land in the sense that Aboriginal Australians are for instance, signifying that they were the original inhabitants, but for all intents and purposes they are indigenous in the critical sense in that they are a non-dominant,</w:t>
      </w:r>
      <w:r w:rsidR="008B5088">
        <w:rPr>
          <w:rFonts w:ascii="Times New Roman" w:eastAsia="Times New Roman" w:hAnsi="Times New Roman" w:cs="Times New Roman"/>
          <w:bCs/>
          <w:color w:val="000000"/>
          <w:sz w:val="24"/>
          <w:szCs w:val="24"/>
        </w:rPr>
        <w:t xml:space="preserve"> culturally</w:t>
      </w:r>
      <w:r w:rsidR="00811909">
        <w:rPr>
          <w:rFonts w:ascii="Times New Roman" w:eastAsia="Times New Roman" w:hAnsi="Times New Roman" w:cs="Times New Roman"/>
          <w:bCs/>
          <w:color w:val="000000"/>
          <w:sz w:val="24"/>
          <w:szCs w:val="24"/>
        </w:rPr>
        <w:t xml:space="preserve"> distinct</w:t>
      </w:r>
      <w:r w:rsidR="00997D7E" w:rsidRPr="0043224D">
        <w:rPr>
          <w:rFonts w:ascii="Times New Roman" w:eastAsia="Times New Roman" w:hAnsi="Times New Roman" w:cs="Times New Roman"/>
          <w:bCs/>
          <w:color w:val="000000"/>
          <w:sz w:val="24"/>
          <w:szCs w:val="24"/>
        </w:rPr>
        <w:t xml:space="preserve"> and almost invariably due to their socio-economic conditions, an oppressed minority.  </w:t>
      </w:r>
    </w:p>
    <w:p w:rsidR="00A96E9E" w:rsidRPr="0043224D" w:rsidRDefault="00E73FEF" w:rsidP="00060EEC">
      <w:pPr>
        <w:spacing w:before="100" w:beforeAutospacing="1" w:after="100" w:afterAutospacing="1" w:line="360" w:lineRule="auto"/>
        <w:ind w:firstLine="720"/>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In addition to the above groups, the Sami of Scandinavia</w:t>
      </w:r>
      <w:r w:rsidR="00EE19F0" w:rsidRPr="0043224D">
        <w:rPr>
          <w:rFonts w:ascii="Times New Roman" w:eastAsia="Times New Roman" w:hAnsi="Times New Roman" w:cs="Times New Roman"/>
          <w:bCs/>
          <w:color w:val="000000"/>
          <w:sz w:val="24"/>
          <w:szCs w:val="24"/>
        </w:rPr>
        <w:t xml:space="preserve">, </w:t>
      </w:r>
      <w:r w:rsidRPr="0043224D">
        <w:rPr>
          <w:rFonts w:ascii="Times New Roman" w:eastAsia="Times New Roman" w:hAnsi="Times New Roman" w:cs="Times New Roman"/>
          <w:bCs/>
          <w:color w:val="000000"/>
          <w:sz w:val="24"/>
          <w:szCs w:val="24"/>
        </w:rPr>
        <w:t>various groups in Russia; in the Arctic north, in  Siberia, and in the far east of the country,</w:t>
      </w:r>
      <w:r w:rsidR="00984499" w:rsidRPr="0043224D">
        <w:rPr>
          <w:rFonts w:ascii="Times New Roman" w:eastAsia="Times New Roman" w:hAnsi="Times New Roman" w:cs="Times New Roman"/>
          <w:bCs/>
          <w:color w:val="000000"/>
          <w:sz w:val="24"/>
          <w:szCs w:val="24"/>
        </w:rPr>
        <w:t xml:space="preserve"> </w:t>
      </w:r>
      <w:r w:rsidRPr="0043224D">
        <w:rPr>
          <w:rFonts w:ascii="Times New Roman" w:eastAsia="Times New Roman" w:hAnsi="Times New Roman" w:cs="Times New Roman"/>
          <w:bCs/>
          <w:color w:val="000000"/>
          <w:sz w:val="24"/>
          <w:szCs w:val="24"/>
        </w:rPr>
        <w:t>have also self- identified and been identified as indigenous.</w:t>
      </w:r>
      <w:r w:rsidRPr="0043224D">
        <w:rPr>
          <w:rStyle w:val="FootnoteReference"/>
          <w:rFonts w:ascii="Times New Roman" w:eastAsia="Times New Roman" w:hAnsi="Times New Roman" w:cs="Times New Roman"/>
          <w:bCs/>
          <w:color w:val="000000"/>
          <w:sz w:val="24"/>
          <w:szCs w:val="24"/>
        </w:rPr>
        <w:footnoteReference w:id="35"/>
      </w:r>
      <w:r w:rsidR="006B4615" w:rsidRPr="0043224D">
        <w:rPr>
          <w:rFonts w:ascii="Times New Roman" w:eastAsia="Times New Roman" w:hAnsi="Times New Roman" w:cs="Times New Roman"/>
          <w:bCs/>
          <w:color w:val="000000"/>
          <w:sz w:val="24"/>
          <w:szCs w:val="24"/>
        </w:rPr>
        <w:t xml:space="preserve"> </w:t>
      </w:r>
      <w:r w:rsidR="008C10BA" w:rsidRPr="0043224D">
        <w:rPr>
          <w:rFonts w:ascii="Times New Roman" w:eastAsia="Times New Roman" w:hAnsi="Times New Roman" w:cs="Times New Roman"/>
          <w:bCs/>
          <w:color w:val="000000"/>
          <w:sz w:val="24"/>
          <w:szCs w:val="24"/>
        </w:rPr>
        <w:t>According</w:t>
      </w:r>
      <w:r w:rsidR="00A96E9E" w:rsidRPr="0043224D">
        <w:rPr>
          <w:rFonts w:ascii="Times New Roman" w:eastAsia="Times New Roman" w:hAnsi="Times New Roman" w:cs="Times New Roman"/>
          <w:bCs/>
          <w:color w:val="000000"/>
          <w:sz w:val="24"/>
          <w:szCs w:val="24"/>
        </w:rPr>
        <w:t xml:space="preserve"> to the UN, approximately 370 million people spread across some 70 countries consider themselves as indigenous, or are considered indigenous by various national, regional and international institutions with which they come into contact with, the vast majority of whom are rural dwellers.</w:t>
      </w:r>
      <w:r w:rsidR="00A96E9E" w:rsidRPr="0043224D">
        <w:rPr>
          <w:rStyle w:val="FootnoteReference"/>
          <w:rFonts w:ascii="Times New Roman" w:eastAsia="Times New Roman" w:hAnsi="Times New Roman" w:cs="Times New Roman"/>
          <w:bCs/>
          <w:color w:val="000000"/>
          <w:sz w:val="24"/>
          <w:szCs w:val="24"/>
        </w:rPr>
        <w:footnoteReference w:id="36"/>
      </w:r>
      <w:r w:rsidR="00A96E9E" w:rsidRPr="0043224D">
        <w:rPr>
          <w:rFonts w:ascii="Times New Roman" w:eastAsia="Times New Roman" w:hAnsi="Times New Roman" w:cs="Times New Roman"/>
          <w:bCs/>
          <w:color w:val="000000"/>
          <w:sz w:val="24"/>
          <w:szCs w:val="24"/>
        </w:rPr>
        <w:t xml:space="preserve">   </w:t>
      </w:r>
    </w:p>
    <w:p w:rsidR="00A96E9E" w:rsidRPr="0043224D" w:rsidRDefault="008C10BA" w:rsidP="00060EEC">
      <w:pPr>
        <w:spacing w:before="100" w:beforeAutospacing="1" w:after="100" w:afterAutospacing="1" w:line="360" w:lineRule="auto"/>
        <w:ind w:firstLine="720"/>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In addition, t</w:t>
      </w:r>
      <w:r w:rsidR="00A96E9E" w:rsidRPr="0043224D">
        <w:rPr>
          <w:rFonts w:ascii="Times New Roman" w:eastAsia="Times New Roman" w:hAnsi="Times New Roman" w:cs="Times New Roman"/>
          <w:bCs/>
          <w:color w:val="000000"/>
          <w:sz w:val="24"/>
          <w:szCs w:val="24"/>
        </w:rPr>
        <w:t>he arguments as to who</w:t>
      </w:r>
      <w:r w:rsidR="00D872C7" w:rsidRPr="0043224D">
        <w:rPr>
          <w:rFonts w:ascii="Times New Roman" w:eastAsia="Times New Roman" w:hAnsi="Times New Roman" w:cs="Times New Roman"/>
          <w:bCs/>
          <w:color w:val="000000"/>
          <w:sz w:val="24"/>
          <w:szCs w:val="24"/>
        </w:rPr>
        <w:t>,</w:t>
      </w:r>
      <w:r w:rsidR="00A96E9E" w:rsidRPr="0043224D">
        <w:rPr>
          <w:rFonts w:ascii="Times New Roman" w:eastAsia="Times New Roman" w:hAnsi="Times New Roman" w:cs="Times New Roman"/>
          <w:bCs/>
          <w:color w:val="000000"/>
          <w:sz w:val="24"/>
          <w:szCs w:val="24"/>
        </w:rPr>
        <w:t xml:space="preserve"> or what</w:t>
      </w:r>
      <w:r w:rsidR="00D872C7" w:rsidRPr="0043224D">
        <w:rPr>
          <w:rFonts w:ascii="Times New Roman" w:eastAsia="Times New Roman" w:hAnsi="Times New Roman" w:cs="Times New Roman"/>
          <w:bCs/>
          <w:color w:val="000000"/>
          <w:sz w:val="24"/>
          <w:szCs w:val="24"/>
        </w:rPr>
        <w:t>,</w:t>
      </w:r>
      <w:r w:rsidR="00A96E9E" w:rsidRPr="0043224D">
        <w:rPr>
          <w:rFonts w:ascii="Times New Roman" w:eastAsia="Times New Roman" w:hAnsi="Times New Roman" w:cs="Times New Roman"/>
          <w:bCs/>
          <w:color w:val="000000"/>
          <w:sz w:val="24"/>
          <w:szCs w:val="24"/>
        </w:rPr>
        <w:t xml:space="preserve"> indigenous peoples are could be construed as a weakness at the national and global level in the fight for legal recognition, particularly in Africa and Asia where</w:t>
      </w:r>
      <w:r w:rsidR="00282E04" w:rsidRPr="0043224D">
        <w:rPr>
          <w:rFonts w:ascii="Times New Roman" w:eastAsia="Times New Roman" w:hAnsi="Times New Roman" w:cs="Times New Roman"/>
          <w:bCs/>
          <w:color w:val="000000"/>
          <w:sz w:val="24"/>
          <w:szCs w:val="24"/>
        </w:rPr>
        <w:t>, at the</w:t>
      </w:r>
      <w:r w:rsidR="00A96E9E" w:rsidRPr="0043224D">
        <w:rPr>
          <w:rFonts w:ascii="Times New Roman" w:eastAsia="Times New Roman" w:hAnsi="Times New Roman" w:cs="Times New Roman"/>
          <w:bCs/>
          <w:color w:val="000000"/>
          <w:sz w:val="24"/>
          <w:szCs w:val="24"/>
        </w:rPr>
        <w:t xml:space="preserve"> regional legal</w:t>
      </w:r>
      <w:r w:rsidR="00282E04" w:rsidRPr="0043224D">
        <w:rPr>
          <w:rFonts w:ascii="Times New Roman" w:eastAsia="Times New Roman" w:hAnsi="Times New Roman" w:cs="Times New Roman"/>
          <w:bCs/>
          <w:color w:val="000000"/>
          <w:sz w:val="24"/>
          <w:szCs w:val="24"/>
        </w:rPr>
        <w:t>,</w:t>
      </w:r>
      <w:r w:rsidR="00A96E9E" w:rsidRPr="0043224D">
        <w:rPr>
          <w:rFonts w:ascii="Times New Roman" w:eastAsia="Times New Roman" w:hAnsi="Times New Roman" w:cs="Times New Roman"/>
          <w:bCs/>
          <w:color w:val="000000"/>
          <w:sz w:val="24"/>
          <w:szCs w:val="24"/>
        </w:rPr>
        <w:t xml:space="preserve"> instruments of compliance, monitoring, and judicial procedures are relative</w:t>
      </w:r>
      <w:r w:rsidR="00D70337" w:rsidRPr="0043224D">
        <w:rPr>
          <w:rFonts w:ascii="Times New Roman" w:eastAsia="Times New Roman" w:hAnsi="Times New Roman" w:cs="Times New Roman"/>
          <w:bCs/>
          <w:color w:val="000000"/>
          <w:sz w:val="24"/>
          <w:szCs w:val="24"/>
        </w:rPr>
        <w:t>ly weak, or in the case of Asia, highly insufficient</w:t>
      </w:r>
      <w:r w:rsidR="00A96E9E" w:rsidRPr="0043224D">
        <w:rPr>
          <w:rFonts w:ascii="Times New Roman" w:eastAsia="Times New Roman" w:hAnsi="Times New Roman" w:cs="Times New Roman"/>
          <w:bCs/>
          <w:color w:val="000000"/>
          <w:sz w:val="24"/>
          <w:szCs w:val="24"/>
        </w:rPr>
        <w:t>.</w:t>
      </w:r>
      <w:r w:rsidR="00D70337" w:rsidRPr="0043224D">
        <w:rPr>
          <w:rStyle w:val="FootnoteReference"/>
          <w:rFonts w:ascii="Times New Roman" w:eastAsia="Times New Roman" w:hAnsi="Times New Roman" w:cs="Times New Roman"/>
          <w:bCs/>
          <w:color w:val="000000"/>
          <w:sz w:val="24"/>
          <w:szCs w:val="24"/>
        </w:rPr>
        <w:footnoteReference w:id="37"/>
      </w:r>
      <w:r w:rsidR="00A96E9E" w:rsidRPr="0043224D">
        <w:rPr>
          <w:rFonts w:ascii="Times New Roman" w:eastAsia="Times New Roman" w:hAnsi="Times New Roman" w:cs="Times New Roman"/>
          <w:bCs/>
          <w:color w:val="000000"/>
          <w:sz w:val="24"/>
          <w:szCs w:val="24"/>
        </w:rPr>
        <w:t xml:space="preserve"> </w:t>
      </w:r>
    </w:p>
    <w:p w:rsidR="001B2B31" w:rsidRPr="001B2B31" w:rsidRDefault="008C72BB" w:rsidP="0043224D">
      <w:pPr>
        <w:pStyle w:val="Heading2"/>
        <w:spacing w:line="360" w:lineRule="auto"/>
        <w:rPr>
          <w:rFonts w:eastAsia="Times New Roman"/>
        </w:rPr>
      </w:pPr>
      <w:bookmarkStart w:id="14" w:name="_Toc399848347"/>
      <w:r>
        <w:rPr>
          <w:rFonts w:eastAsia="Times New Roman"/>
        </w:rPr>
        <w:t xml:space="preserve">2.2 </w:t>
      </w:r>
      <w:r w:rsidR="001B2B31" w:rsidRPr="001B2B31">
        <w:rPr>
          <w:rFonts w:eastAsia="Times New Roman"/>
        </w:rPr>
        <w:t>Indigeno</w:t>
      </w:r>
      <w:r w:rsidR="00C4267D">
        <w:rPr>
          <w:rFonts w:eastAsia="Times New Roman"/>
        </w:rPr>
        <w:t>us Peoples and Post-Colonial Development</w:t>
      </w:r>
      <w:bookmarkEnd w:id="14"/>
      <w:r w:rsidR="00C4267D">
        <w:rPr>
          <w:rFonts w:eastAsia="Times New Roman"/>
        </w:rPr>
        <w:t xml:space="preserve"> </w:t>
      </w:r>
    </w:p>
    <w:p w:rsidR="0060625E" w:rsidRPr="0043224D" w:rsidRDefault="001B2B31" w:rsidP="00060EEC">
      <w:pPr>
        <w:spacing w:before="100" w:beforeAutospacing="1" w:after="100" w:afterAutospacing="1" w:line="360" w:lineRule="auto"/>
        <w:ind w:firstLine="720"/>
        <w:outlineLvl w:val="3"/>
        <w:rPr>
          <w:rFonts w:ascii="Times New Roman" w:hAnsi="Times New Roman" w:cs="Times New Roman"/>
          <w:sz w:val="24"/>
          <w:szCs w:val="24"/>
        </w:rPr>
      </w:pPr>
      <w:r w:rsidRPr="0043224D">
        <w:rPr>
          <w:rFonts w:ascii="Times New Roman" w:eastAsia="Times New Roman" w:hAnsi="Times New Roman" w:cs="Times New Roman"/>
          <w:bCs/>
          <w:color w:val="000000"/>
          <w:sz w:val="24"/>
          <w:szCs w:val="24"/>
        </w:rPr>
        <w:t>The</w:t>
      </w:r>
      <w:r w:rsidR="00D27DDF" w:rsidRPr="0043224D">
        <w:rPr>
          <w:rFonts w:ascii="Times New Roman" w:eastAsia="Times New Roman" w:hAnsi="Times New Roman" w:cs="Times New Roman"/>
          <w:bCs/>
          <w:color w:val="000000"/>
          <w:sz w:val="24"/>
          <w:szCs w:val="24"/>
        </w:rPr>
        <w:t xml:space="preserve"> term indigenous</w:t>
      </w:r>
      <w:r w:rsidR="00E20966" w:rsidRPr="0043224D">
        <w:rPr>
          <w:rFonts w:ascii="Times New Roman" w:eastAsia="Times New Roman" w:hAnsi="Times New Roman" w:cs="Times New Roman"/>
          <w:bCs/>
          <w:color w:val="000000"/>
          <w:sz w:val="24"/>
          <w:szCs w:val="24"/>
        </w:rPr>
        <w:t xml:space="preserve"> </w:t>
      </w:r>
      <w:r w:rsidR="008C10BA" w:rsidRPr="0043224D">
        <w:rPr>
          <w:rFonts w:ascii="Times New Roman" w:eastAsia="Times New Roman" w:hAnsi="Times New Roman" w:cs="Times New Roman"/>
          <w:bCs/>
          <w:color w:val="000000"/>
          <w:sz w:val="24"/>
          <w:szCs w:val="24"/>
        </w:rPr>
        <w:t>has</w:t>
      </w:r>
      <w:r w:rsidR="00B2501C" w:rsidRPr="0043224D">
        <w:rPr>
          <w:rFonts w:ascii="Times New Roman" w:eastAsia="Times New Roman" w:hAnsi="Times New Roman" w:cs="Times New Roman"/>
          <w:bCs/>
          <w:color w:val="000000"/>
          <w:sz w:val="24"/>
          <w:szCs w:val="24"/>
        </w:rPr>
        <w:t xml:space="preserve"> </w:t>
      </w:r>
      <w:r w:rsidR="00E20966" w:rsidRPr="0043224D">
        <w:rPr>
          <w:rFonts w:ascii="Times New Roman" w:eastAsia="Times New Roman" w:hAnsi="Times New Roman" w:cs="Times New Roman"/>
          <w:bCs/>
          <w:color w:val="000000"/>
          <w:sz w:val="24"/>
          <w:szCs w:val="24"/>
        </w:rPr>
        <w:t>traditionally</w:t>
      </w:r>
      <w:r w:rsidR="008C10BA" w:rsidRPr="0043224D">
        <w:rPr>
          <w:rFonts w:ascii="Times New Roman" w:eastAsia="Times New Roman" w:hAnsi="Times New Roman" w:cs="Times New Roman"/>
          <w:bCs/>
          <w:color w:val="000000"/>
          <w:sz w:val="24"/>
          <w:szCs w:val="24"/>
        </w:rPr>
        <w:t xml:space="preserve"> been</w:t>
      </w:r>
      <w:r w:rsidR="00E20966" w:rsidRPr="0043224D">
        <w:rPr>
          <w:rFonts w:ascii="Times New Roman" w:eastAsia="Times New Roman" w:hAnsi="Times New Roman" w:cs="Times New Roman"/>
          <w:bCs/>
          <w:color w:val="000000"/>
          <w:sz w:val="24"/>
          <w:szCs w:val="24"/>
        </w:rPr>
        <w:t xml:space="preserve"> associated with negative and derogatory connotations.</w:t>
      </w:r>
      <w:r w:rsidR="00CB7DA7" w:rsidRPr="0043224D">
        <w:rPr>
          <w:rStyle w:val="FootnoteReference"/>
          <w:rFonts w:ascii="Times New Roman" w:eastAsia="Times New Roman" w:hAnsi="Times New Roman" w:cs="Times New Roman"/>
          <w:bCs/>
          <w:color w:val="000000"/>
          <w:sz w:val="24"/>
          <w:szCs w:val="24"/>
        </w:rPr>
        <w:t xml:space="preserve"> </w:t>
      </w:r>
      <w:r w:rsidR="006A416B">
        <w:rPr>
          <w:rFonts w:ascii="Times New Roman" w:eastAsia="Times New Roman" w:hAnsi="Times New Roman" w:cs="Times New Roman"/>
          <w:bCs/>
          <w:color w:val="000000"/>
          <w:sz w:val="24"/>
          <w:szCs w:val="24"/>
        </w:rPr>
        <w:t>Historically</w:t>
      </w:r>
      <w:r w:rsidR="006F430D" w:rsidRPr="0043224D">
        <w:rPr>
          <w:rFonts w:ascii="Times New Roman" w:eastAsia="Times New Roman" w:hAnsi="Times New Roman" w:cs="Times New Roman"/>
          <w:bCs/>
          <w:color w:val="000000"/>
          <w:sz w:val="24"/>
          <w:szCs w:val="24"/>
        </w:rPr>
        <w:t xml:space="preserve"> i</w:t>
      </w:r>
      <w:r w:rsidR="00ED78DF" w:rsidRPr="0043224D">
        <w:rPr>
          <w:rFonts w:ascii="Times New Roman" w:eastAsia="Times New Roman" w:hAnsi="Times New Roman" w:cs="Times New Roman"/>
          <w:bCs/>
          <w:color w:val="000000"/>
          <w:sz w:val="24"/>
          <w:szCs w:val="24"/>
        </w:rPr>
        <w:t xml:space="preserve">ndigenous </w:t>
      </w:r>
      <w:r w:rsidR="00CB21BC" w:rsidRPr="0043224D">
        <w:rPr>
          <w:rFonts w:ascii="Times New Roman" w:eastAsia="Times New Roman" w:hAnsi="Times New Roman" w:cs="Times New Roman"/>
          <w:bCs/>
          <w:color w:val="000000"/>
          <w:sz w:val="24"/>
          <w:szCs w:val="24"/>
        </w:rPr>
        <w:t xml:space="preserve">came to </w:t>
      </w:r>
      <w:r w:rsidR="00DD1FDB" w:rsidRPr="0043224D">
        <w:rPr>
          <w:rFonts w:ascii="Times New Roman" w:eastAsia="Times New Roman" w:hAnsi="Times New Roman" w:cs="Times New Roman"/>
          <w:bCs/>
          <w:color w:val="000000"/>
          <w:sz w:val="24"/>
          <w:szCs w:val="24"/>
        </w:rPr>
        <w:t>stand for</w:t>
      </w:r>
      <w:r w:rsidR="00ED78DF" w:rsidRPr="0043224D">
        <w:rPr>
          <w:rFonts w:ascii="Times New Roman" w:eastAsia="Times New Roman" w:hAnsi="Times New Roman" w:cs="Times New Roman"/>
          <w:bCs/>
          <w:color w:val="000000"/>
          <w:sz w:val="24"/>
          <w:szCs w:val="24"/>
        </w:rPr>
        <w:t xml:space="preserve"> “primitive”, “backward”</w:t>
      </w:r>
      <w:r w:rsidR="00DD1FDB" w:rsidRPr="0043224D">
        <w:rPr>
          <w:rFonts w:ascii="Times New Roman" w:eastAsia="Times New Roman" w:hAnsi="Times New Roman" w:cs="Times New Roman"/>
          <w:bCs/>
          <w:color w:val="000000"/>
          <w:sz w:val="24"/>
          <w:szCs w:val="24"/>
        </w:rPr>
        <w:t>,</w:t>
      </w:r>
      <w:r w:rsidR="00ED78DF" w:rsidRPr="0043224D">
        <w:rPr>
          <w:rFonts w:ascii="Times New Roman" w:eastAsia="Times New Roman" w:hAnsi="Times New Roman" w:cs="Times New Roman"/>
          <w:bCs/>
          <w:color w:val="000000"/>
          <w:sz w:val="24"/>
          <w:szCs w:val="24"/>
        </w:rPr>
        <w:t xml:space="preserve"> and ther</w:t>
      </w:r>
      <w:r w:rsidR="0008423D" w:rsidRPr="0043224D">
        <w:rPr>
          <w:rFonts w:ascii="Times New Roman" w:eastAsia="Times New Roman" w:hAnsi="Times New Roman" w:cs="Times New Roman"/>
          <w:bCs/>
          <w:color w:val="000000"/>
          <w:sz w:val="24"/>
          <w:szCs w:val="24"/>
        </w:rPr>
        <w:t>e</w:t>
      </w:r>
      <w:r w:rsidR="00ED78DF" w:rsidRPr="0043224D">
        <w:rPr>
          <w:rFonts w:ascii="Times New Roman" w:eastAsia="Times New Roman" w:hAnsi="Times New Roman" w:cs="Times New Roman"/>
          <w:bCs/>
          <w:color w:val="000000"/>
          <w:sz w:val="24"/>
          <w:szCs w:val="24"/>
        </w:rPr>
        <w:t>fo</w:t>
      </w:r>
      <w:r w:rsidR="0008423D" w:rsidRPr="0043224D">
        <w:rPr>
          <w:rFonts w:ascii="Times New Roman" w:eastAsia="Times New Roman" w:hAnsi="Times New Roman" w:cs="Times New Roman"/>
          <w:bCs/>
          <w:color w:val="000000"/>
          <w:sz w:val="24"/>
          <w:szCs w:val="24"/>
        </w:rPr>
        <w:t>r</w:t>
      </w:r>
      <w:r w:rsidR="00ED78DF" w:rsidRPr="0043224D">
        <w:rPr>
          <w:rFonts w:ascii="Times New Roman" w:eastAsia="Times New Roman" w:hAnsi="Times New Roman" w:cs="Times New Roman"/>
          <w:bCs/>
          <w:color w:val="000000"/>
          <w:sz w:val="24"/>
          <w:szCs w:val="24"/>
        </w:rPr>
        <w:t xml:space="preserve">e by </w:t>
      </w:r>
      <w:r w:rsidR="0008423D" w:rsidRPr="0043224D">
        <w:rPr>
          <w:rFonts w:ascii="Times New Roman" w:eastAsia="Times New Roman" w:hAnsi="Times New Roman" w:cs="Times New Roman"/>
          <w:bCs/>
          <w:color w:val="000000"/>
          <w:sz w:val="24"/>
          <w:szCs w:val="24"/>
        </w:rPr>
        <w:t>insinuation</w:t>
      </w:r>
      <w:r w:rsidR="008C10BA" w:rsidRPr="0043224D">
        <w:rPr>
          <w:rFonts w:ascii="Times New Roman" w:eastAsia="Times New Roman" w:hAnsi="Times New Roman" w:cs="Times New Roman"/>
          <w:bCs/>
          <w:color w:val="000000"/>
          <w:sz w:val="24"/>
          <w:szCs w:val="24"/>
        </w:rPr>
        <w:t>,</w:t>
      </w:r>
      <w:r w:rsidR="0008423D" w:rsidRPr="0043224D">
        <w:rPr>
          <w:rFonts w:ascii="Times New Roman" w:eastAsia="Times New Roman" w:hAnsi="Times New Roman" w:cs="Times New Roman"/>
          <w:bCs/>
          <w:color w:val="000000"/>
          <w:sz w:val="24"/>
          <w:szCs w:val="24"/>
        </w:rPr>
        <w:t xml:space="preserve"> </w:t>
      </w:r>
      <w:r w:rsidR="00ED78DF" w:rsidRPr="0043224D">
        <w:rPr>
          <w:rFonts w:ascii="Times New Roman" w:eastAsia="Times New Roman" w:hAnsi="Times New Roman" w:cs="Times New Roman"/>
          <w:bCs/>
          <w:color w:val="000000"/>
          <w:sz w:val="24"/>
          <w:szCs w:val="24"/>
        </w:rPr>
        <w:t>uncivilised.</w:t>
      </w:r>
      <w:r w:rsidR="00CB21BC" w:rsidRPr="0043224D">
        <w:rPr>
          <w:rFonts w:ascii="Times New Roman" w:eastAsia="Times New Roman" w:hAnsi="Times New Roman" w:cs="Times New Roman"/>
          <w:bCs/>
          <w:color w:val="000000"/>
          <w:sz w:val="24"/>
          <w:szCs w:val="24"/>
        </w:rPr>
        <w:t xml:space="preserve"> </w:t>
      </w:r>
      <w:r w:rsidR="00ED78DF" w:rsidRPr="0043224D">
        <w:rPr>
          <w:rFonts w:ascii="Times New Roman" w:eastAsia="Times New Roman" w:hAnsi="Times New Roman" w:cs="Times New Roman"/>
          <w:bCs/>
          <w:color w:val="000000"/>
          <w:sz w:val="24"/>
          <w:szCs w:val="24"/>
        </w:rPr>
        <w:t xml:space="preserve"> </w:t>
      </w:r>
      <w:r w:rsidR="0008423D" w:rsidRPr="0043224D">
        <w:rPr>
          <w:rFonts w:ascii="Times New Roman" w:eastAsia="Times New Roman" w:hAnsi="Times New Roman" w:cs="Times New Roman"/>
          <w:bCs/>
          <w:color w:val="000000"/>
          <w:sz w:val="24"/>
          <w:szCs w:val="24"/>
        </w:rPr>
        <w:t>These terms however, and the chauvinistic a</w:t>
      </w:r>
      <w:r w:rsidR="00DD1FDB" w:rsidRPr="0043224D">
        <w:rPr>
          <w:rFonts w:ascii="Times New Roman" w:eastAsia="Times New Roman" w:hAnsi="Times New Roman" w:cs="Times New Roman"/>
          <w:bCs/>
          <w:color w:val="000000"/>
          <w:sz w:val="24"/>
          <w:szCs w:val="24"/>
        </w:rPr>
        <w:t>nd racist ideological function which</w:t>
      </w:r>
      <w:r w:rsidR="0008423D" w:rsidRPr="0043224D">
        <w:rPr>
          <w:rFonts w:ascii="Times New Roman" w:eastAsia="Times New Roman" w:hAnsi="Times New Roman" w:cs="Times New Roman"/>
          <w:bCs/>
          <w:color w:val="000000"/>
          <w:sz w:val="24"/>
          <w:szCs w:val="24"/>
        </w:rPr>
        <w:t xml:space="preserve"> they served, were not just confined to areas of European imperial conquest.  Dominant social and ethnic groups </w:t>
      </w:r>
      <w:r w:rsidR="009D6C1F" w:rsidRPr="0043224D">
        <w:rPr>
          <w:rFonts w:ascii="Times New Roman" w:eastAsia="Times New Roman" w:hAnsi="Times New Roman" w:cs="Times New Roman"/>
          <w:bCs/>
          <w:color w:val="000000"/>
          <w:sz w:val="24"/>
          <w:szCs w:val="24"/>
        </w:rPr>
        <w:t>in Africa and Asia also utilise</w:t>
      </w:r>
      <w:r w:rsidR="008C10BA" w:rsidRPr="0043224D">
        <w:rPr>
          <w:rFonts w:ascii="Times New Roman" w:eastAsia="Times New Roman" w:hAnsi="Times New Roman" w:cs="Times New Roman"/>
          <w:bCs/>
          <w:color w:val="000000"/>
          <w:sz w:val="24"/>
          <w:szCs w:val="24"/>
        </w:rPr>
        <w:t>d</w:t>
      </w:r>
      <w:r w:rsidR="0008423D" w:rsidRPr="0043224D">
        <w:rPr>
          <w:rFonts w:ascii="Times New Roman" w:eastAsia="Times New Roman" w:hAnsi="Times New Roman" w:cs="Times New Roman"/>
          <w:bCs/>
          <w:color w:val="000000"/>
          <w:sz w:val="24"/>
          <w:szCs w:val="24"/>
        </w:rPr>
        <w:t xml:space="preserve"> equally racist and derogatory language as a means to consciously “other” indigenous populations who </w:t>
      </w:r>
      <w:r w:rsidR="008C10BA" w:rsidRPr="0043224D">
        <w:rPr>
          <w:rFonts w:ascii="Times New Roman" w:eastAsia="Times New Roman" w:hAnsi="Times New Roman" w:cs="Times New Roman"/>
          <w:bCs/>
          <w:color w:val="000000"/>
          <w:sz w:val="24"/>
          <w:szCs w:val="24"/>
        </w:rPr>
        <w:t>were</w:t>
      </w:r>
      <w:r w:rsidR="0008423D" w:rsidRPr="0043224D">
        <w:rPr>
          <w:rFonts w:ascii="Times New Roman" w:eastAsia="Times New Roman" w:hAnsi="Times New Roman" w:cs="Times New Roman"/>
          <w:bCs/>
          <w:color w:val="000000"/>
          <w:sz w:val="24"/>
          <w:szCs w:val="24"/>
        </w:rPr>
        <w:t xml:space="preserve"> perceived to be inferior</w:t>
      </w:r>
      <w:r w:rsidR="0060625E" w:rsidRPr="0043224D">
        <w:rPr>
          <w:rFonts w:ascii="Times New Roman" w:eastAsia="Times New Roman" w:hAnsi="Times New Roman" w:cs="Times New Roman"/>
          <w:bCs/>
          <w:color w:val="000000"/>
          <w:sz w:val="24"/>
          <w:szCs w:val="24"/>
        </w:rPr>
        <w:t>, and sometimes, often not even</w:t>
      </w:r>
      <w:r w:rsidR="0012609D" w:rsidRPr="0043224D">
        <w:rPr>
          <w:rFonts w:ascii="Times New Roman" w:eastAsia="Times New Roman" w:hAnsi="Times New Roman" w:cs="Times New Roman"/>
          <w:bCs/>
          <w:color w:val="000000"/>
          <w:sz w:val="24"/>
          <w:szCs w:val="24"/>
        </w:rPr>
        <w:t xml:space="preserve"> </w:t>
      </w:r>
      <w:r w:rsidR="0060625E" w:rsidRPr="0043224D">
        <w:rPr>
          <w:rFonts w:ascii="Times New Roman" w:eastAsia="Times New Roman" w:hAnsi="Times New Roman" w:cs="Times New Roman"/>
          <w:bCs/>
          <w:color w:val="000000"/>
          <w:sz w:val="24"/>
          <w:szCs w:val="24"/>
        </w:rPr>
        <w:t>human</w:t>
      </w:r>
      <w:r w:rsidR="0008423D" w:rsidRPr="0043224D">
        <w:rPr>
          <w:rFonts w:ascii="Times New Roman" w:eastAsia="Times New Roman" w:hAnsi="Times New Roman" w:cs="Times New Roman"/>
          <w:bCs/>
          <w:color w:val="000000"/>
          <w:sz w:val="24"/>
          <w:szCs w:val="24"/>
        </w:rPr>
        <w:t>.</w:t>
      </w:r>
      <w:r w:rsidR="008C10BA" w:rsidRPr="0043224D">
        <w:rPr>
          <w:rFonts w:ascii="Times New Roman" w:eastAsia="Times New Roman" w:hAnsi="Times New Roman" w:cs="Times New Roman"/>
          <w:bCs/>
          <w:color w:val="000000"/>
          <w:sz w:val="24"/>
          <w:szCs w:val="24"/>
        </w:rPr>
        <w:t xml:space="preserve"> Unfortunately the prejudice is still ongoing,</w:t>
      </w:r>
      <w:r w:rsidR="0060625E" w:rsidRPr="0043224D">
        <w:rPr>
          <w:rFonts w:ascii="Times New Roman" w:eastAsia="Times New Roman" w:hAnsi="Times New Roman" w:cs="Times New Roman"/>
          <w:bCs/>
          <w:color w:val="000000"/>
          <w:sz w:val="24"/>
          <w:szCs w:val="24"/>
        </w:rPr>
        <w:t xml:space="preserve"> </w:t>
      </w:r>
      <w:r w:rsidR="008C10BA" w:rsidRPr="0043224D">
        <w:rPr>
          <w:rFonts w:ascii="Times New Roman" w:eastAsia="Times New Roman" w:hAnsi="Times New Roman" w:cs="Times New Roman"/>
          <w:bCs/>
          <w:color w:val="000000"/>
          <w:sz w:val="24"/>
          <w:szCs w:val="24"/>
        </w:rPr>
        <w:t xml:space="preserve">as </w:t>
      </w:r>
      <w:r w:rsidR="0060625E" w:rsidRPr="0043224D">
        <w:rPr>
          <w:rFonts w:ascii="Times New Roman" w:hAnsi="Times New Roman" w:cs="Times New Roman"/>
          <w:sz w:val="24"/>
          <w:szCs w:val="24"/>
        </w:rPr>
        <w:t xml:space="preserve">Willem van Genugten </w:t>
      </w:r>
      <w:r w:rsidR="0012609D" w:rsidRPr="0043224D">
        <w:rPr>
          <w:rFonts w:ascii="Times New Roman" w:hAnsi="Times New Roman" w:cs="Times New Roman"/>
          <w:sz w:val="24"/>
          <w:szCs w:val="24"/>
        </w:rPr>
        <w:t>notes in the African context</w:t>
      </w:r>
      <w:r w:rsidR="0060625E" w:rsidRPr="0043224D">
        <w:rPr>
          <w:rFonts w:ascii="Times New Roman" w:hAnsi="Times New Roman" w:cs="Times New Roman"/>
          <w:sz w:val="24"/>
          <w:szCs w:val="24"/>
        </w:rPr>
        <w:t xml:space="preserve"> with</w:t>
      </w:r>
      <w:r w:rsidR="009D6C1F" w:rsidRPr="0043224D">
        <w:rPr>
          <w:rFonts w:ascii="Times New Roman" w:hAnsi="Times New Roman" w:cs="Times New Roman"/>
          <w:sz w:val="24"/>
          <w:szCs w:val="24"/>
        </w:rPr>
        <w:t xml:space="preserve"> a</w:t>
      </w:r>
      <w:r w:rsidR="0060625E" w:rsidRPr="0043224D">
        <w:rPr>
          <w:rFonts w:ascii="Times New Roman" w:hAnsi="Times New Roman" w:cs="Times New Roman"/>
          <w:sz w:val="24"/>
          <w:szCs w:val="24"/>
        </w:rPr>
        <w:t xml:space="preserve"> </w:t>
      </w:r>
      <w:r w:rsidR="009D6C1F" w:rsidRPr="0043224D">
        <w:rPr>
          <w:rFonts w:ascii="Times New Roman" w:hAnsi="Times New Roman" w:cs="Times New Roman"/>
          <w:sz w:val="24"/>
          <w:szCs w:val="24"/>
        </w:rPr>
        <w:t>particularly eye opening</w:t>
      </w:r>
      <w:r w:rsidR="0060625E" w:rsidRPr="0043224D">
        <w:rPr>
          <w:rFonts w:ascii="Times New Roman" w:hAnsi="Times New Roman" w:cs="Times New Roman"/>
          <w:sz w:val="24"/>
          <w:szCs w:val="24"/>
        </w:rPr>
        <w:t xml:space="preserve"> </w:t>
      </w:r>
      <w:r w:rsidR="003806BD" w:rsidRPr="0043224D">
        <w:rPr>
          <w:rFonts w:ascii="Times New Roman" w:hAnsi="Times New Roman" w:cs="Times New Roman"/>
          <w:sz w:val="24"/>
          <w:szCs w:val="24"/>
        </w:rPr>
        <w:t>description</w:t>
      </w:r>
      <w:r w:rsidR="0012609D" w:rsidRPr="0043224D">
        <w:rPr>
          <w:rFonts w:ascii="Times New Roman" w:hAnsi="Times New Roman" w:cs="Times New Roman"/>
          <w:sz w:val="24"/>
          <w:szCs w:val="24"/>
        </w:rPr>
        <w:t xml:space="preserve"> taken from an African Commission report</w:t>
      </w:r>
      <w:r w:rsidR="0060625E" w:rsidRPr="0043224D">
        <w:rPr>
          <w:rFonts w:ascii="Times New Roman" w:hAnsi="Times New Roman" w:cs="Times New Roman"/>
          <w:sz w:val="24"/>
          <w:szCs w:val="24"/>
        </w:rPr>
        <w:t xml:space="preserve"> </w:t>
      </w:r>
      <w:r w:rsidR="0012609D" w:rsidRPr="0043224D">
        <w:rPr>
          <w:rFonts w:ascii="Times New Roman" w:hAnsi="Times New Roman" w:cs="Times New Roman"/>
          <w:sz w:val="24"/>
          <w:szCs w:val="24"/>
        </w:rPr>
        <w:t>on</w:t>
      </w:r>
      <w:r w:rsidR="0060625E" w:rsidRPr="0043224D">
        <w:rPr>
          <w:rFonts w:ascii="Times New Roman" w:hAnsi="Times New Roman" w:cs="Times New Roman"/>
          <w:sz w:val="24"/>
          <w:szCs w:val="24"/>
        </w:rPr>
        <w:t xml:space="preserve"> the treatment of </w:t>
      </w:r>
      <w:r w:rsidR="0012609D" w:rsidRPr="0043224D">
        <w:rPr>
          <w:rFonts w:ascii="Times New Roman" w:hAnsi="Times New Roman" w:cs="Times New Roman"/>
          <w:sz w:val="24"/>
          <w:szCs w:val="24"/>
        </w:rPr>
        <w:t>nomadic hunter-gatherers</w:t>
      </w:r>
      <w:r w:rsidR="0060625E" w:rsidRPr="0043224D">
        <w:rPr>
          <w:rFonts w:ascii="Times New Roman" w:hAnsi="Times New Roman" w:cs="Times New Roman"/>
          <w:sz w:val="24"/>
          <w:szCs w:val="24"/>
        </w:rPr>
        <w:t xml:space="preserve"> in </w:t>
      </w:r>
      <w:r w:rsidR="0012609D" w:rsidRPr="0043224D">
        <w:rPr>
          <w:rFonts w:ascii="Times New Roman" w:hAnsi="Times New Roman" w:cs="Times New Roman"/>
          <w:sz w:val="24"/>
          <w:szCs w:val="24"/>
        </w:rPr>
        <w:t>Rwanda and Burundi</w:t>
      </w:r>
      <w:r w:rsidR="0060625E" w:rsidRPr="0043224D">
        <w:rPr>
          <w:rFonts w:ascii="Times New Roman" w:hAnsi="Times New Roman" w:cs="Times New Roman"/>
          <w:sz w:val="24"/>
          <w:szCs w:val="24"/>
        </w:rPr>
        <w:t xml:space="preserve">: </w:t>
      </w:r>
      <w:r w:rsidR="00CB7DA7" w:rsidRPr="0043224D">
        <w:rPr>
          <w:rFonts w:ascii="Times New Roman" w:hAnsi="Times New Roman" w:cs="Times New Roman"/>
          <w:sz w:val="24"/>
          <w:szCs w:val="24"/>
        </w:rPr>
        <w:t xml:space="preserve"> </w:t>
      </w:r>
    </w:p>
    <w:p w:rsidR="004E665C" w:rsidRPr="0043224D" w:rsidRDefault="004E665C" w:rsidP="0043224D">
      <w:pPr>
        <w:spacing w:line="360" w:lineRule="auto"/>
        <w:ind w:left="720"/>
        <w:rPr>
          <w:rFonts w:ascii="Times New Roman" w:hAnsi="Times New Roman" w:cs="Times New Roman"/>
          <w:i/>
          <w:sz w:val="24"/>
          <w:szCs w:val="24"/>
        </w:rPr>
      </w:pPr>
      <w:r w:rsidRPr="0043224D">
        <w:rPr>
          <w:rFonts w:ascii="Times New Roman" w:hAnsi="Times New Roman" w:cs="Times New Roman"/>
          <w:i/>
          <w:sz w:val="24"/>
          <w:szCs w:val="24"/>
        </w:rPr>
        <w:t>Prejudice means they are considered undeveloped, intellectually backward, hideous, unsavoury characters, or sub-human. The Batwa are allowed to share nothing with the</w:t>
      </w:r>
      <w:r w:rsidRPr="0043224D">
        <w:rPr>
          <w:sz w:val="24"/>
          <w:szCs w:val="24"/>
        </w:rPr>
        <w:t xml:space="preserve"> </w:t>
      </w:r>
      <w:r w:rsidRPr="0043224D">
        <w:rPr>
          <w:rFonts w:ascii="Times New Roman" w:hAnsi="Times New Roman" w:cs="Times New Roman"/>
          <w:i/>
          <w:sz w:val="24"/>
          <w:szCs w:val="24"/>
        </w:rPr>
        <w:t>Hutus or Tutsis, neither food nor drink</w:t>
      </w:r>
      <w:r w:rsidR="006F430D" w:rsidRPr="0043224D">
        <w:rPr>
          <w:rFonts w:ascii="Times New Roman" w:hAnsi="Times New Roman" w:cs="Times New Roman"/>
          <w:i/>
          <w:sz w:val="24"/>
          <w:szCs w:val="24"/>
        </w:rPr>
        <w:t>.</w:t>
      </w:r>
      <w:r w:rsidRPr="0043224D">
        <w:rPr>
          <w:rFonts w:ascii="Times New Roman" w:hAnsi="Times New Roman" w:cs="Times New Roman"/>
          <w:i/>
          <w:sz w:val="24"/>
          <w:szCs w:val="24"/>
        </w:rPr>
        <w:t xml:space="preserve"> Even sitting down with a Batwa would be considered an insult or a dishonour to the friends and family of any Hutu or Tutsi who agrees</w:t>
      </w:r>
      <w:r w:rsidRPr="0043224D">
        <w:rPr>
          <w:sz w:val="24"/>
          <w:szCs w:val="24"/>
        </w:rPr>
        <w:t xml:space="preserve"> </w:t>
      </w:r>
      <w:r w:rsidRPr="0043224D">
        <w:rPr>
          <w:rFonts w:ascii="Times New Roman" w:hAnsi="Times New Roman" w:cs="Times New Roman"/>
          <w:i/>
          <w:sz w:val="24"/>
          <w:szCs w:val="24"/>
        </w:rPr>
        <w:t>to do so.</w:t>
      </w:r>
      <w:r w:rsidRPr="0043224D">
        <w:rPr>
          <w:rStyle w:val="FootnoteReference"/>
          <w:rFonts w:ascii="Times New Roman" w:eastAsia="Times New Roman" w:hAnsi="Times New Roman" w:cs="Times New Roman"/>
          <w:bCs/>
          <w:color w:val="000000"/>
          <w:sz w:val="24"/>
          <w:szCs w:val="24"/>
        </w:rPr>
        <w:footnoteReference w:id="38"/>
      </w:r>
      <w:r w:rsidRPr="0043224D">
        <w:rPr>
          <w:rFonts w:ascii="Times New Roman" w:hAnsi="Times New Roman" w:cs="Times New Roman"/>
          <w:i/>
          <w:sz w:val="24"/>
          <w:szCs w:val="24"/>
        </w:rPr>
        <w:t xml:space="preserve"> </w:t>
      </w:r>
      <w:r w:rsidR="008D7727" w:rsidRPr="0043224D">
        <w:rPr>
          <w:rFonts w:ascii="Times New Roman" w:hAnsi="Times New Roman" w:cs="Times New Roman"/>
          <w:i/>
          <w:sz w:val="24"/>
          <w:szCs w:val="24"/>
        </w:rPr>
        <w:t xml:space="preserve"> </w:t>
      </w:r>
    </w:p>
    <w:p w:rsidR="00E7442A" w:rsidRPr="0043224D" w:rsidRDefault="0012609D" w:rsidP="0043224D">
      <w:pPr>
        <w:spacing w:line="360" w:lineRule="auto"/>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Regrettably,</w:t>
      </w:r>
      <w:r w:rsidR="008D7727" w:rsidRPr="0043224D">
        <w:rPr>
          <w:rFonts w:ascii="Times New Roman" w:hAnsi="Times New Roman" w:cs="Times New Roman"/>
          <w:sz w:val="24"/>
          <w:szCs w:val="24"/>
        </w:rPr>
        <w:t xml:space="preserve"> the cultural</w:t>
      </w:r>
      <w:r w:rsidR="00771C2D" w:rsidRPr="0043224D">
        <w:rPr>
          <w:rFonts w:ascii="Times New Roman" w:hAnsi="Times New Roman" w:cs="Times New Roman"/>
          <w:sz w:val="24"/>
          <w:szCs w:val="24"/>
        </w:rPr>
        <w:t xml:space="preserve"> and social </w:t>
      </w:r>
      <w:r w:rsidR="008D7727" w:rsidRPr="0043224D">
        <w:rPr>
          <w:rFonts w:ascii="Times New Roman" w:hAnsi="Times New Roman" w:cs="Times New Roman"/>
          <w:sz w:val="24"/>
          <w:szCs w:val="24"/>
        </w:rPr>
        <w:t>values which underpin such avowed racism</w:t>
      </w:r>
      <w:r w:rsidRPr="0043224D">
        <w:rPr>
          <w:rFonts w:ascii="Times New Roman" w:eastAsia="Times New Roman" w:hAnsi="Times New Roman" w:cs="Times New Roman"/>
          <w:bCs/>
          <w:color w:val="000000"/>
          <w:sz w:val="24"/>
          <w:szCs w:val="24"/>
        </w:rPr>
        <w:t xml:space="preserve"> could quite easily be substituted</w:t>
      </w:r>
      <w:r w:rsidR="008D7727" w:rsidRPr="0043224D">
        <w:rPr>
          <w:rFonts w:ascii="Times New Roman" w:eastAsia="Times New Roman" w:hAnsi="Times New Roman" w:cs="Times New Roman"/>
          <w:bCs/>
          <w:color w:val="000000"/>
          <w:sz w:val="24"/>
          <w:szCs w:val="24"/>
        </w:rPr>
        <w:t xml:space="preserve"> for India, Malaysia, and elsewhere, in the treatment of tribal and indigenous peoples</w:t>
      </w:r>
      <w:r w:rsidR="006F430D" w:rsidRPr="0043224D">
        <w:rPr>
          <w:rFonts w:ascii="Times New Roman" w:eastAsia="Times New Roman" w:hAnsi="Times New Roman" w:cs="Times New Roman"/>
          <w:bCs/>
          <w:color w:val="000000"/>
          <w:sz w:val="24"/>
          <w:szCs w:val="24"/>
        </w:rPr>
        <w:t>.</w:t>
      </w:r>
      <w:r w:rsidR="008D7727" w:rsidRPr="0043224D">
        <w:rPr>
          <w:rStyle w:val="FootnoteReference"/>
          <w:rFonts w:ascii="Times New Roman" w:eastAsia="Times New Roman" w:hAnsi="Times New Roman" w:cs="Times New Roman"/>
          <w:bCs/>
          <w:color w:val="000000"/>
          <w:sz w:val="24"/>
          <w:szCs w:val="24"/>
        </w:rPr>
        <w:footnoteReference w:id="39"/>
      </w:r>
      <w:r w:rsidR="008D7727" w:rsidRPr="0043224D">
        <w:rPr>
          <w:rFonts w:ascii="Times New Roman" w:eastAsia="Times New Roman" w:hAnsi="Times New Roman" w:cs="Times New Roman"/>
          <w:bCs/>
          <w:color w:val="000000"/>
          <w:sz w:val="24"/>
          <w:szCs w:val="24"/>
        </w:rPr>
        <w:t xml:space="preserve"> </w:t>
      </w:r>
      <w:r w:rsidR="006F430D" w:rsidRPr="0043224D">
        <w:rPr>
          <w:rFonts w:ascii="Times New Roman" w:eastAsia="Times New Roman" w:hAnsi="Times New Roman" w:cs="Times New Roman"/>
          <w:bCs/>
          <w:color w:val="000000"/>
          <w:sz w:val="24"/>
          <w:szCs w:val="24"/>
        </w:rPr>
        <w:t xml:space="preserve"> </w:t>
      </w:r>
    </w:p>
    <w:p w:rsidR="004F7447" w:rsidRPr="0043224D" w:rsidRDefault="008D7727" w:rsidP="00060EEC">
      <w:pPr>
        <w:spacing w:line="360" w:lineRule="auto"/>
        <w:ind w:firstLine="720"/>
        <w:rPr>
          <w:rFonts w:ascii="Times New Roman" w:hAnsi="Times New Roman" w:cs="Times New Roman"/>
          <w:sz w:val="24"/>
          <w:szCs w:val="24"/>
        </w:rPr>
      </w:pPr>
      <w:r w:rsidRPr="0043224D">
        <w:rPr>
          <w:rFonts w:ascii="Times New Roman" w:eastAsia="Times New Roman" w:hAnsi="Times New Roman" w:cs="Times New Roman"/>
          <w:bCs/>
          <w:color w:val="000000"/>
          <w:sz w:val="24"/>
          <w:szCs w:val="24"/>
        </w:rPr>
        <w:t xml:space="preserve">In </w:t>
      </w:r>
      <w:r w:rsidR="006F430D" w:rsidRPr="0043224D">
        <w:rPr>
          <w:rFonts w:ascii="Times New Roman" w:eastAsia="Times New Roman" w:hAnsi="Times New Roman" w:cs="Times New Roman"/>
          <w:bCs/>
          <w:color w:val="000000"/>
          <w:sz w:val="24"/>
          <w:szCs w:val="24"/>
        </w:rPr>
        <w:t xml:space="preserve">post-colonial developmental </w:t>
      </w:r>
      <w:r w:rsidRPr="0043224D">
        <w:rPr>
          <w:rFonts w:ascii="Times New Roman" w:eastAsia="Times New Roman" w:hAnsi="Times New Roman" w:cs="Times New Roman"/>
          <w:bCs/>
          <w:color w:val="000000"/>
          <w:sz w:val="24"/>
          <w:szCs w:val="24"/>
        </w:rPr>
        <w:t xml:space="preserve">states indigenous peoples were commonly associated with traditional cultural practices </w:t>
      </w:r>
      <w:r w:rsidR="00C01012">
        <w:rPr>
          <w:rFonts w:ascii="Times New Roman" w:eastAsia="Times New Roman" w:hAnsi="Times New Roman" w:cs="Times New Roman"/>
          <w:bCs/>
          <w:color w:val="000000"/>
          <w:sz w:val="24"/>
          <w:szCs w:val="24"/>
        </w:rPr>
        <w:t>that</w:t>
      </w:r>
      <w:r w:rsidRPr="0043224D">
        <w:rPr>
          <w:rFonts w:ascii="Times New Roman" w:eastAsia="Times New Roman" w:hAnsi="Times New Roman" w:cs="Times New Roman"/>
          <w:bCs/>
          <w:color w:val="000000"/>
          <w:sz w:val="24"/>
          <w:szCs w:val="24"/>
        </w:rPr>
        <w:t xml:space="preserve"> were denigrated as old-fashioned and thus the antithesis of social and industrial modernisation; and furthermore, the antithetical embodiment of the idea of modernity. For the modernising a</w:t>
      </w:r>
      <w:r w:rsidR="00041478" w:rsidRPr="0043224D">
        <w:rPr>
          <w:rFonts w:ascii="Times New Roman" w:eastAsia="Times New Roman" w:hAnsi="Times New Roman" w:cs="Times New Roman"/>
          <w:bCs/>
          <w:color w:val="000000"/>
          <w:sz w:val="24"/>
          <w:szCs w:val="24"/>
        </w:rPr>
        <w:t>nd industrial impulses of newly independent</w:t>
      </w:r>
      <w:r w:rsidRPr="0043224D">
        <w:rPr>
          <w:rFonts w:ascii="Times New Roman" w:eastAsia="Times New Roman" w:hAnsi="Times New Roman" w:cs="Times New Roman"/>
          <w:bCs/>
          <w:color w:val="000000"/>
          <w:sz w:val="24"/>
          <w:szCs w:val="24"/>
        </w:rPr>
        <w:t xml:space="preserve"> states in the decolonising period from the 1950s onwards, this othering of indigenous peoples served as a convenient ideological mechanism with which to utilise the concept of development as a </w:t>
      </w:r>
      <w:r w:rsidR="00041478" w:rsidRPr="0043224D">
        <w:rPr>
          <w:rFonts w:ascii="Times New Roman" w:eastAsia="Times New Roman" w:hAnsi="Times New Roman" w:cs="Times New Roman"/>
          <w:bCs/>
          <w:color w:val="000000"/>
          <w:sz w:val="24"/>
          <w:szCs w:val="24"/>
        </w:rPr>
        <w:t>normative</w:t>
      </w:r>
      <w:r w:rsidR="006C34EF" w:rsidRPr="0043224D">
        <w:rPr>
          <w:rFonts w:ascii="Times New Roman" w:eastAsia="Times New Roman" w:hAnsi="Times New Roman" w:cs="Times New Roman"/>
          <w:bCs/>
          <w:color w:val="000000"/>
          <w:sz w:val="24"/>
          <w:szCs w:val="24"/>
        </w:rPr>
        <w:t xml:space="preserve"> and thus ideologically inevitable programme of nation building</w:t>
      </w:r>
      <w:r w:rsidR="007E018D" w:rsidRPr="0043224D">
        <w:rPr>
          <w:rFonts w:ascii="Times New Roman" w:eastAsia="Times New Roman" w:hAnsi="Times New Roman" w:cs="Times New Roman"/>
          <w:bCs/>
          <w:color w:val="000000"/>
          <w:sz w:val="24"/>
          <w:szCs w:val="24"/>
        </w:rPr>
        <w:t>, hence the title of this thesis</w:t>
      </w:r>
      <w:r w:rsidR="00771C2D" w:rsidRPr="0043224D">
        <w:rPr>
          <w:rFonts w:ascii="Times New Roman" w:eastAsia="Times New Roman" w:hAnsi="Times New Roman" w:cs="Times New Roman"/>
          <w:bCs/>
          <w:color w:val="000000"/>
          <w:sz w:val="24"/>
          <w:szCs w:val="24"/>
        </w:rPr>
        <w:t xml:space="preserve">. </w:t>
      </w:r>
      <w:r w:rsidR="00C01012">
        <w:rPr>
          <w:rFonts w:ascii="Times New Roman" w:eastAsia="Times New Roman" w:hAnsi="Times New Roman" w:cs="Times New Roman"/>
          <w:bCs/>
          <w:color w:val="000000"/>
          <w:sz w:val="24"/>
          <w:szCs w:val="24"/>
        </w:rPr>
        <w:t xml:space="preserve">What colonialism began, the modernising </w:t>
      </w:r>
      <w:r w:rsidR="00C01012" w:rsidRPr="0043224D">
        <w:rPr>
          <w:rFonts w:ascii="Times New Roman" w:eastAsia="Times New Roman" w:hAnsi="Times New Roman" w:cs="Times New Roman"/>
          <w:bCs/>
          <w:color w:val="000000"/>
          <w:sz w:val="24"/>
          <w:szCs w:val="24"/>
        </w:rPr>
        <w:t>process</w:t>
      </w:r>
      <w:r w:rsidR="00C01012">
        <w:rPr>
          <w:rFonts w:ascii="Times New Roman" w:eastAsia="Times New Roman" w:hAnsi="Times New Roman" w:cs="Times New Roman"/>
          <w:bCs/>
          <w:color w:val="000000"/>
          <w:sz w:val="24"/>
          <w:szCs w:val="24"/>
        </w:rPr>
        <w:t xml:space="preserve"> continued, further subjugating</w:t>
      </w:r>
      <w:r w:rsidRPr="0043224D">
        <w:rPr>
          <w:rFonts w:ascii="Times New Roman" w:eastAsia="Times New Roman" w:hAnsi="Times New Roman" w:cs="Times New Roman"/>
          <w:bCs/>
          <w:color w:val="000000"/>
          <w:sz w:val="24"/>
          <w:szCs w:val="24"/>
        </w:rPr>
        <w:t xml:space="preserve"> indigenous populations</w:t>
      </w:r>
      <w:r w:rsidR="006C34EF" w:rsidRPr="0043224D">
        <w:rPr>
          <w:rFonts w:ascii="Times New Roman" w:eastAsia="Times New Roman" w:hAnsi="Times New Roman" w:cs="Times New Roman"/>
          <w:bCs/>
          <w:color w:val="000000"/>
          <w:sz w:val="24"/>
          <w:szCs w:val="24"/>
        </w:rPr>
        <w:t xml:space="preserve"> by assimilating them into highly prescriptive </w:t>
      </w:r>
      <w:r w:rsidR="00282E04" w:rsidRPr="0043224D">
        <w:rPr>
          <w:rFonts w:ascii="Times New Roman" w:eastAsia="Times New Roman" w:hAnsi="Times New Roman" w:cs="Times New Roman"/>
          <w:bCs/>
          <w:color w:val="000000"/>
          <w:sz w:val="24"/>
          <w:szCs w:val="24"/>
        </w:rPr>
        <w:t>programs</w:t>
      </w:r>
      <w:r w:rsidR="006C34EF" w:rsidRPr="0043224D">
        <w:rPr>
          <w:rFonts w:ascii="Times New Roman" w:eastAsia="Times New Roman" w:hAnsi="Times New Roman" w:cs="Times New Roman"/>
          <w:bCs/>
          <w:color w:val="000000"/>
          <w:sz w:val="24"/>
          <w:szCs w:val="24"/>
        </w:rPr>
        <w:t xml:space="preserve"> of economic and social </w:t>
      </w:r>
      <w:r w:rsidR="00282E04" w:rsidRPr="0043224D">
        <w:rPr>
          <w:rFonts w:ascii="Times New Roman" w:eastAsia="Times New Roman" w:hAnsi="Times New Roman" w:cs="Times New Roman"/>
          <w:bCs/>
          <w:color w:val="000000"/>
          <w:sz w:val="24"/>
          <w:szCs w:val="24"/>
        </w:rPr>
        <w:t>engineering</w:t>
      </w:r>
      <w:r w:rsidRPr="0043224D">
        <w:rPr>
          <w:rFonts w:ascii="Times New Roman" w:eastAsia="Times New Roman" w:hAnsi="Times New Roman" w:cs="Times New Roman"/>
          <w:bCs/>
          <w:color w:val="000000"/>
          <w:sz w:val="24"/>
          <w:szCs w:val="24"/>
        </w:rPr>
        <w:t xml:space="preserve">. </w:t>
      </w:r>
    </w:p>
    <w:p w:rsidR="00D50494" w:rsidRPr="0043224D" w:rsidRDefault="00041478" w:rsidP="00060EEC">
      <w:pPr>
        <w:spacing w:line="360" w:lineRule="auto"/>
        <w:ind w:firstLine="720"/>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In Tanzania and elsewhere the</w:t>
      </w:r>
      <w:r w:rsidR="00771C2D" w:rsidRPr="0043224D">
        <w:rPr>
          <w:rFonts w:ascii="Times New Roman" w:eastAsia="Times New Roman" w:hAnsi="Times New Roman" w:cs="Times New Roman"/>
          <w:bCs/>
          <w:color w:val="000000"/>
          <w:sz w:val="24"/>
          <w:szCs w:val="24"/>
        </w:rPr>
        <w:t xml:space="preserve"> process of modernisation at the expanse of indigenous culture is </w:t>
      </w:r>
      <w:r w:rsidR="008B3461" w:rsidRPr="0043224D">
        <w:rPr>
          <w:rFonts w:ascii="Times New Roman" w:eastAsia="Times New Roman" w:hAnsi="Times New Roman" w:cs="Times New Roman"/>
          <w:bCs/>
          <w:color w:val="000000"/>
          <w:sz w:val="24"/>
          <w:szCs w:val="24"/>
        </w:rPr>
        <w:t xml:space="preserve">typified </w:t>
      </w:r>
      <w:r w:rsidR="00771C2D" w:rsidRPr="0043224D">
        <w:rPr>
          <w:rFonts w:ascii="Times New Roman" w:eastAsia="Times New Roman" w:hAnsi="Times New Roman" w:cs="Times New Roman"/>
          <w:bCs/>
          <w:color w:val="000000"/>
          <w:sz w:val="24"/>
          <w:szCs w:val="24"/>
        </w:rPr>
        <w:t>by the villagisation programme of the 1970s, described by one author as the “hubris of high modernism”</w:t>
      </w:r>
      <w:r w:rsidR="0010526E" w:rsidRPr="0043224D">
        <w:rPr>
          <w:rFonts w:ascii="Times New Roman" w:eastAsia="Times New Roman" w:hAnsi="Times New Roman" w:cs="Times New Roman"/>
          <w:bCs/>
          <w:color w:val="000000"/>
          <w:sz w:val="24"/>
          <w:szCs w:val="24"/>
        </w:rPr>
        <w:t>.</w:t>
      </w:r>
      <w:r w:rsidR="00771C2D" w:rsidRPr="0043224D">
        <w:rPr>
          <w:rStyle w:val="FootnoteReference"/>
          <w:rFonts w:ascii="Times New Roman" w:eastAsia="Times New Roman" w:hAnsi="Times New Roman" w:cs="Times New Roman"/>
          <w:bCs/>
          <w:color w:val="000000"/>
          <w:sz w:val="24"/>
          <w:szCs w:val="24"/>
        </w:rPr>
        <w:footnoteReference w:id="40"/>
      </w:r>
      <w:r w:rsidR="00771C2D" w:rsidRPr="0043224D">
        <w:rPr>
          <w:rFonts w:ascii="Times New Roman" w:eastAsia="Times New Roman" w:hAnsi="Times New Roman" w:cs="Times New Roman"/>
          <w:bCs/>
          <w:color w:val="000000"/>
          <w:sz w:val="24"/>
          <w:szCs w:val="24"/>
        </w:rPr>
        <w:t xml:space="preserve"> </w:t>
      </w:r>
      <w:r w:rsidR="0010526E" w:rsidRPr="0043224D">
        <w:rPr>
          <w:rFonts w:ascii="Times New Roman" w:eastAsia="Times New Roman" w:hAnsi="Times New Roman" w:cs="Times New Roman"/>
          <w:bCs/>
          <w:color w:val="000000"/>
          <w:sz w:val="24"/>
          <w:szCs w:val="24"/>
        </w:rPr>
        <w:t xml:space="preserve"> </w:t>
      </w:r>
      <w:r w:rsidR="00771C2D" w:rsidRPr="0043224D">
        <w:rPr>
          <w:rFonts w:ascii="Times New Roman" w:eastAsia="Times New Roman" w:hAnsi="Times New Roman" w:cs="Times New Roman"/>
          <w:bCs/>
          <w:color w:val="000000"/>
          <w:sz w:val="24"/>
          <w:szCs w:val="24"/>
        </w:rPr>
        <w:t xml:space="preserve">Hundreds of thousands were displaced </w:t>
      </w:r>
      <w:r w:rsidR="006C34EF" w:rsidRPr="0043224D">
        <w:rPr>
          <w:rFonts w:ascii="Times New Roman" w:eastAsia="Times New Roman" w:hAnsi="Times New Roman" w:cs="Times New Roman"/>
          <w:bCs/>
          <w:color w:val="000000"/>
          <w:sz w:val="24"/>
          <w:szCs w:val="24"/>
        </w:rPr>
        <w:t xml:space="preserve">and </w:t>
      </w:r>
      <w:r w:rsidR="00771C2D" w:rsidRPr="0043224D">
        <w:rPr>
          <w:rFonts w:ascii="Times New Roman" w:eastAsia="Times New Roman" w:hAnsi="Times New Roman" w:cs="Times New Roman"/>
          <w:bCs/>
          <w:color w:val="000000"/>
          <w:sz w:val="24"/>
          <w:szCs w:val="24"/>
        </w:rPr>
        <w:t>dispossessed in an ambitious act of developmental social engineering, as part of a collectivisation policy somewhat euphemistically termed “Ujamaa”.</w:t>
      </w:r>
      <w:r w:rsidR="00771C2D" w:rsidRPr="0043224D">
        <w:rPr>
          <w:rStyle w:val="FootnoteReference"/>
          <w:rFonts w:ascii="Times New Roman" w:eastAsia="Times New Roman" w:hAnsi="Times New Roman" w:cs="Times New Roman"/>
          <w:bCs/>
          <w:color w:val="000000"/>
          <w:sz w:val="24"/>
          <w:szCs w:val="24"/>
        </w:rPr>
        <w:footnoteReference w:id="41"/>
      </w:r>
      <w:r w:rsidR="00771C2D" w:rsidRPr="0043224D">
        <w:rPr>
          <w:rFonts w:ascii="Times New Roman" w:eastAsia="Times New Roman" w:hAnsi="Times New Roman" w:cs="Times New Roman"/>
          <w:bCs/>
          <w:color w:val="000000"/>
          <w:sz w:val="24"/>
          <w:szCs w:val="24"/>
        </w:rPr>
        <w:t xml:space="preserve"> Even if </w:t>
      </w:r>
      <w:r w:rsidR="00E02387" w:rsidRPr="0043224D">
        <w:rPr>
          <w:rFonts w:ascii="Times New Roman" w:eastAsia="Times New Roman" w:hAnsi="Times New Roman" w:cs="Times New Roman"/>
          <w:bCs/>
          <w:color w:val="000000"/>
          <w:sz w:val="24"/>
          <w:szCs w:val="24"/>
        </w:rPr>
        <w:t>such a nation-building</w:t>
      </w:r>
      <w:r w:rsidR="00771C2D" w:rsidRPr="0043224D">
        <w:rPr>
          <w:rFonts w:ascii="Times New Roman" w:eastAsia="Times New Roman" w:hAnsi="Times New Roman" w:cs="Times New Roman"/>
          <w:bCs/>
          <w:color w:val="000000"/>
          <w:sz w:val="24"/>
          <w:szCs w:val="24"/>
        </w:rPr>
        <w:t xml:space="preserve"> policy was well </w:t>
      </w:r>
      <w:r w:rsidR="00E7442A" w:rsidRPr="0043224D">
        <w:rPr>
          <w:rFonts w:ascii="Times New Roman" w:eastAsia="Times New Roman" w:hAnsi="Times New Roman" w:cs="Times New Roman"/>
          <w:bCs/>
          <w:color w:val="000000"/>
          <w:sz w:val="24"/>
          <w:szCs w:val="24"/>
        </w:rPr>
        <w:t>intentioned</w:t>
      </w:r>
      <w:r w:rsidR="00771C2D" w:rsidRPr="0043224D">
        <w:rPr>
          <w:rFonts w:ascii="Times New Roman" w:eastAsia="Times New Roman" w:hAnsi="Times New Roman" w:cs="Times New Roman"/>
          <w:bCs/>
          <w:color w:val="000000"/>
          <w:sz w:val="24"/>
          <w:szCs w:val="24"/>
        </w:rPr>
        <w:t xml:space="preserve"> at least in its inception, the outcomes were deeply flawed and </w:t>
      </w:r>
      <w:r w:rsidR="006C34EF" w:rsidRPr="0043224D">
        <w:rPr>
          <w:rFonts w:ascii="Times New Roman" w:eastAsia="Times New Roman" w:hAnsi="Times New Roman" w:cs="Times New Roman"/>
          <w:bCs/>
          <w:color w:val="000000"/>
          <w:sz w:val="24"/>
          <w:szCs w:val="24"/>
        </w:rPr>
        <w:t>highly destructive</w:t>
      </w:r>
      <w:r w:rsidR="00DD6983" w:rsidRPr="0043224D">
        <w:rPr>
          <w:rFonts w:ascii="Times New Roman" w:eastAsia="Times New Roman" w:hAnsi="Times New Roman" w:cs="Times New Roman"/>
          <w:bCs/>
          <w:color w:val="000000"/>
          <w:sz w:val="24"/>
          <w:szCs w:val="24"/>
        </w:rPr>
        <w:t xml:space="preserve">, </w:t>
      </w:r>
      <w:r w:rsidR="008B3461" w:rsidRPr="0043224D">
        <w:rPr>
          <w:rFonts w:ascii="Times New Roman" w:eastAsia="Times New Roman" w:hAnsi="Times New Roman" w:cs="Times New Roman"/>
          <w:bCs/>
          <w:color w:val="000000"/>
          <w:sz w:val="24"/>
          <w:szCs w:val="24"/>
        </w:rPr>
        <w:t xml:space="preserve">and </w:t>
      </w:r>
      <w:r w:rsidR="00DD6983" w:rsidRPr="0043224D">
        <w:rPr>
          <w:rFonts w:ascii="Times New Roman" w:eastAsia="Times New Roman" w:hAnsi="Times New Roman" w:cs="Times New Roman"/>
          <w:bCs/>
          <w:color w:val="000000"/>
          <w:sz w:val="24"/>
          <w:szCs w:val="24"/>
        </w:rPr>
        <w:t>not only in Tanzania</w:t>
      </w:r>
      <w:r w:rsidR="00771C2D" w:rsidRPr="0043224D">
        <w:rPr>
          <w:rFonts w:ascii="Times New Roman" w:eastAsia="Times New Roman" w:hAnsi="Times New Roman" w:cs="Times New Roman"/>
          <w:bCs/>
          <w:color w:val="000000"/>
          <w:sz w:val="24"/>
          <w:szCs w:val="24"/>
        </w:rPr>
        <w:t>. Regrettably</w:t>
      </w:r>
      <w:r w:rsidR="00E7442A" w:rsidRPr="0043224D">
        <w:rPr>
          <w:rFonts w:ascii="Times New Roman" w:eastAsia="Times New Roman" w:hAnsi="Times New Roman" w:cs="Times New Roman"/>
          <w:bCs/>
          <w:color w:val="000000"/>
          <w:sz w:val="24"/>
          <w:szCs w:val="24"/>
        </w:rPr>
        <w:t>, Tanzania’s Ujamaa</w:t>
      </w:r>
      <w:r w:rsidR="00C01012">
        <w:rPr>
          <w:rFonts w:ascii="Times New Roman" w:eastAsia="Times New Roman" w:hAnsi="Times New Roman" w:cs="Times New Roman"/>
          <w:bCs/>
          <w:color w:val="000000"/>
          <w:sz w:val="24"/>
          <w:szCs w:val="24"/>
        </w:rPr>
        <w:t xml:space="preserve"> project</w:t>
      </w:r>
      <w:r w:rsidR="00E7442A" w:rsidRPr="0043224D">
        <w:rPr>
          <w:rFonts w:ascii="Times New Roman" w:eastAsia="Times New Roman" w:hAnsi="Times New Roman" w:cs="Times New Roman"/>
          <w:bCs/>
          <w:color w:val="000000"/>
          <w:sz w:val="24"/>
          <w:szCs w:val="24"/>
        </w:rPr>
        <w:t xml:space="preserve"> served</w:t>
      </w:r>
      <w:r w:rsidR="00C01012">
        <w:rPr>
          <w:rFonts w:ascii="Times New Roman" w:eastAsia="Times New Roman" w:hAnsi="Times New Roman" w:cs="Times New Roman"/>
          <w:bCs/>
          <w:color w:val="000000"/>
          <w:sz w:val="24"/>
          <w:szCs w:val="24"/>
        </w:rPr>
        <w:t xml:space="preserve"> as</w:t>
      </w:r>
      <w:r w:rsidR="00E7442A" w:rsidRPr="0043224D">
        <w:rPr>
          <w:rFonts w:ascii="Times New Roman" w:eastAsia="Times New Roman" w:hAnsi="Times New Roman" w:cs="Times New Roman"/>
          <w:bCs/>
          <w:color w:val="000000"/>
          <w:sz w:val="24"/>
          <w:szCs w:val="24"/>
        </w:rPr>
        <w:t xml:space="preserve"> a nascent </w:t>
      </w:r>
      <w:r w:rsidR="008B3461" w:rsidRPr="0043224D">
        <w:rPr>
          <w:rFonts w:ascii="Times New Roman" w:eastAsia="Times New Roman" w:hAnsi="Times New Roman" w:cs="Times New Roman"/>
          <w:bCs/>
          <w:color w:val="000000"/>
          <w:sz w:val="24"/>
          <w:szCs w:val="24"/>
        </w:rPr>
        <w:t xml:space="preserve">African </w:t>
      </w:r>
      <w:r w:rsidR="00C01012">
        <w:rPr>
          <w:rFonts w:ascii="Times New Roman" w:eastAsia="Times New Roman" w:hAnsi="Times New Roman" w:cs="Times New Roman"/>
          <w:bCs/>
          <w:color w:val="000000"/>
          <w:sz w:val="24"/>
          <w:szCs w:val="24"/>
        </w:rPr>
        <w:t>“</w:t>
      </w:r>
      <w:r w:rsidR="008B3461" w:rsidRPr="0043224D">
        <w:rPr>
          <w:rFonts w:ascii="Times New Roman" w:eastAsia="Times New Roman" w:hAnsi="Times New Roman" w:cs="Times New Roman"/>
          <w:bCs/>
          <w:color w:val="000000"/>
          <w:sz w:val="24"/>
          <w:szCs w:val="24"/>
        </w:rPr>
        <w:t>Petri dish</w:t>
      </w:r>
      <w:r w:rsidR="00C01012">
        <w:rPr>
          <w:rFonts w:ascii="Times New Roman" w:eastAsia="Times New Roman" w:hAnsi="Times New Roman" w:cs="Times New Roman"/>
          <w:bCs/>
          <w:color w:val="000000"/>
          <w:sz w:val="24"/>
          <w:szCs w:val="24"/>
        </w:rPr>
        <w:t>”</w:t>
      </w:r>
      <w:r w:rsidR="008B3461" w:rsidRPr="0043224D">
        <w:rPr>
          <w:rFonts w:ascii="Times New Roman" w:eastAsia="Times New Roman" w:hAnsi="Times New Roman" w:cs="Times New Roman"/>
          <w:bCs/>
          <w:color w:val="000000"/>
          <w:sz w:val="24"/>
          <w:szCs w:val="24"/>
        </w:rPr>
        <w:t xml:space="preserve">, and thus </w:t>
      </w:r>
      <w:r w:rsidR="00E02387" w:rsidRPr="0043224D">
        <w:rPr>
          <w:rFonts w:ascii="Times New Roman" w:eastAsia="Times New Roman" w:hAnsi="Times New Roman" w:cs="Times New Roman"/>
          <w:bCs/>
          <w:color w:val="000000"/>
          <w:sz w:val="24"/>
          <w:szCs w:val="24"/>
        </w:rPr>
        <w:t xml:space="preserve">such policies set a </w:t>
      </w:r>
      <w:r w:rsidR="000D2976" w:rsidRPr="0043224D">
        <w:rPr>
          <w:rFonts w:ascii="Times New Roman" w:eastAsia="Times New Roman" w:hAnsi="Times New Roman" w:cs="Times New Roman"/>
          <w:bCs/>
          <w:color w:val="000000"/>
          <w:sz w:val="24"/>
          <w:szCs w:val="24"/>
        </w:rPr>
        <w:t xml:space="preserve">negative </w:t>
      </w:r>
      <w:r w:rsidR="00E02387" w:rsidRPr="0043224D">
        <w:rPr>
          <w:rFonts w:ascii="Times New Roman" w:eastAsia="Times New Roman" w:hAnsi="Times New Roman" w:cs="Times New Roman"/>
          <w:bCs/>
          <w:color w:val="000000"/>
          <w:sz w:val="24"/>
          <w:szCs w:val="24"/>
        </w:rPr>
        <w:t>precedent</w:t>
      </w:r>
      <w:r w:rsidR="000D531B" w:rsidRPr="0043224D">
        <w:rPr>
          <w:rFonts w:ascii="Times New Roman" w:eastAsia="Times New Roman" w:hAnsi="Times New Roman" w:cs="Times New Roman"/>
          <w:bCs/>
          <w:color w:val="000000"/>
          <w:sz w:val="24"/>
          <w:szCs w:val="24"/>
        </w:rPr>
        <w:t xml:space="preserve"> </w:t>
      </w:r>
      <w:r w:rsidR="008B3461" w:rsidRPr="0043224D">
        <w:rPr>
          <w:rFonts w:ascii="Times New Roman" w:eastAsia="Times New Roman" w:hAnsi="Times New Roman" w:cs="Times New Roman"/>
          <w:bCs/>
          <w:color w:val="000000"/>
          <w:sz w:val="24"/>
          <w:szCs w:val="24"/>
        </w:rPr>
        <w:t xml:space="preserve">for </w:t>
      </w:r>
      <w:r w:rsidR="000D531B" w:rsidRPr="0043224D">
        <w:rPr>
          <w:rFonts w:ascii="Times New Roman" w:eastAsia="Times New Roman" w:hAnsi="Times New Roman" w:cs="Times New Roman"/>
          <w:bCs/>
          <w:color w:val="000000"/>
          <w:sz w:val="24"/>
          <w:szCs w:val="24"/>
        </w:rPr>
        <w:t>other parts of Africa</w:t>
      </w:r>
      <w:r w:rsidR="00E02387" w:rsidRPr="0043224D">
        <w:rPr>
          <w:rFonts w:ascii="Times New Roman" w:eastAsia="Times New Roman" w:hAnsi="Times New Roman" w:cs="Times New Roman"/>
          <w:bCs/>
          <w:color w:val="000000"/>
          <w:sz w:val="24"/>
          <w:szCs w:val="24"/>
        </w:rPr>
        <w:t>.</w:t>
      </w:r>
      <w:r w:rsidR="00771C2D" w:rsidRPr="0043224D">
        <w:rPr>
          <w:rFonts w:ascii="Times New Roman" w:eastAsia="Times New Roman" w:hAnsi="Times New Roman" w:cs="Times New Roman"/>
          <w:bCs/>
          <w:color w:val="000000"/>
          <w:sz w:val="24"/>
          <w:szCs w:val="24"/>
        </w:rPr>
        <w:t xml:space="preserve"> </w:t>
      </w:r>
      <w:r w:rsidR="00E02387" w:rsidRPr="0043224D">
        <w:rPr>
          <w:rFonts w:ascii="Times New Roman" w:eastAsia="Times New Roman" w:hAnsi="Times New Roman" w:cs="Times New Roman"/>
          <w:bCs/>
          <w:color w:val="000000"/>
          <w:sz w:val="24"/>
          <w:szCs w:val="24"/>
        </w:rPr>
        <w:t>C</w:t>
      </w:r>
      <w:r w:rsidR="006C34EF" w:rsidRPr="0043224D">
        <w:rPr>
          <w:rFonts w:ascii="Times New Roman" w:eastAsia="Times New Roman" w:hAnsi="Times New Roman" w:cs="Times New Roman"/>
          <w:bCs/>
          <w:color w:val="000000"/>
          <w:sz w:val="24"/>
          <w:szCs w:val="24"/>
        </w:rPr>
        <w:t>urrently</w:t>
      </w:r>
      <w:r w:rsidR="00282E04" w:rsidRPr="0043224D">
        <w:rPr>
          <w:rFonts w:ascii="Times New Roman" w:eastAsia="Times New Roman" w:hAnsi="Times New Roman" w:cs="Times New Roman"/>
          <w:bCs/>
          <w:color w:val="000000"/>
          <w:sz w:val="24"/>
          <w:szCs w:val="24"/>
        </w:rPr>
        <w:t xml:space="preserve"> in Ethiopia</w:t>
      </w:r>
      <w:r w:rsidR="006C34EF" w:rsidRPr="0043224D">
        <w:rPr>
          <w:rFonts w:ascii="Times New Roman" w:eastAsia="Times New Roman" w:hAnsi="Times New Roman" w:cs="Times New Roman"/>
          <w:bCs/>
          <w:color w:val="000000"/>
          <w:sz w:val="24"/>
          <w:szCs w:val="24"/>
        </w:rPr>
        <w:t xml:space="preserve">, equally </w:t>
      </w:r>
      <w:r w:rsidR="00771C2D" w:rsidRPr="0043224D">
        <w:rPr>
          <w:rFonts w:ascii="Times New Roman" w:eastAsia="Times New Roman" w:hAnsi="Times New Roman" w:cs="Times New Roman"/>
          <w:bCs/>
          <w:color w:val="000000"/>
          <w:sz w:val="24"/>
          <w:szCs w:val="24"/>
        </w:rPr>
        <w:t xml:space="preserve">punitive policies </w:t>
      </w:r>
      <w:r w:rsidR="006C34EF" w:rsidRPr="0043224D">
        <w:rPr>
          <w:rFonts w:ascii="Times New Roman" w:eastAsia="Times New Roman" w:hAnsi="Times New Roman" w:cs="Times New Roman"/>
          <w:bCs/>
          <w:color w:val="000000"/>
          <w:sz w:val="24"/>
          <w:szCs w:val="24"/>
        </w:rPr>
        <w:t xml:space="preserve">are being </w:t>
      </w:r>
      <w:r w:rsidR="00282E04" w:rsidRPr="0043224D">
        <w:rPr>
          <w:rFonts w:ascii="Times New Roman" w:eastAsia="Times New Roman" w:hAnsi="Times New Roman" w:cs="Times New Roman"/>
          <w:bCs/>
          <w:color w:val="000000"/>
          <w:sz w:val="24"/>
          <w:szCs w:val="24"/>
        </w:rPr>
        <w:t xml:space="preserve">implemented </w:t>
      </w:r>
      <w:r w:rsidR="00771C2D" w:rsidRPr="0043224D">
        <w:rPr>
          <w:rFonts w:ascii="Times New Roman" w:eastAsia="Times New Roman" w:hAnsi="Times New Roman" w:cs="Times New Roman"/>
          <w:bCs/>
          <w:color w:val="000000"/>
          <w:sz w:val="24"/>
          <w:szCs w:val="24"/>
        </w:rPr>
        <w:t xml:space="preserve">affecting nomadic indigenous </w:t>
      </w:r>
      <w:r w:rsidR="008B3461" w:rsidRPr="0043224D">
        <w:rPr>
          <w:rFonts w:ascii="Times New Roman" w:eastAsia="Times New Roman" w:hAnsi="Times New Roman" w:cs="Times New Roman"/>
          <w:bCs/>
          <w:color w:val="000000"/>
          <w:sz w:val="24"/>
          <w:szCs w:val="24"/>
        </w:rPr>
        <w:t>peoples, including pastoralists.</w:t>
      </w:r>
      <w:r w:rsidR="00771C2D" w:rsidRPr="0043224D">
        <w:rPr>
          <w:rFonts w:ascii="Times New Roman" w:eastAsia="Times New Roman" w:hAnsi="Times New Roman" w:cs="Times New Roman"/>
          <w:bCs/>
          <w:color w:val="000000"/>
          <w:sz w:val="24"/>
          <w:szCs w:val="24"/>
        </w:rPr>
        <w:t xml:space="preserve"> </w:t>
      </w:r>
      <w:r w:rsidR="008B3461" w:rsidRPr="0043224D">
        <w:rPr>
          <w:rFonts w:ascii="Times New Roman" w:eastAsia="Times New Roman" w:hAnsi="Times New Roman" w:cs="Times New Roman"/>
          <w:bCs/>
          <w:color w:val="000000"/>
          <w:sz w:val="24"/>
          <w:szCs w:val="24"/>
        </w:rPr>
        <w:t>Consequently</w:t>
      </w:r>
      <w:r w:rsidR="00282E04" w:rsidRPr="0043224D">
        <w:rPr>
          <w:rFonts w:ascii="Times New Roman" w:eastAsia="Times New Roman" w:hAnsi="Times New Roman" w:cs="Times New Roman"/>
          <w:bCs/>
          <w:color w:val="000000"/>
          <w:sz w:val="24"/>
          <w:szCs w:val="24"/>
        </w:rPr>
        <w:t>,</w:t>
      </w:r>
      <w:r w:rsidR="006C34EF" w:rsidRPr="0043224D">
        <w:rPr>
          <w:rFonts w:ascii="Times New Roman" w:eastAsia="Times New Roman" w:hAnsi="Times New Roman" w:cs="Times New Roman"/>
          <w:bCs/>
          <w:color w:val="000000"/>
          <w:sz w:val="24"/>
          <w:szCs w:val="24"/>
        </w:rPr>
        <w:t xml:space="preserve"> </w:t>
      </w:r>
      <w:r w:rsidR="00771C2D" w:rsidRPr="0043224D">
        <w:rPr>
          <w:rFonts w:ascii="Times New Roman" w:eastAsia="Times New Roman" w:hAnsi="Times New Roman" w:cs="Times New Roman"/>
          <w:bCs/>
          <w:color w:val="000000"/>
          <w:sz w:val="24"/>
          <w:szCs w:val="24"/>
        </w:rPr>
        <w:t>thousands</w:t>
      </w:r>
      <w:r w:rsidR="000D2976" w:rsidRPr="0043224D">
        <w:rPr>
          <w:rFonts w:ascii="Times New Roman" w:eastAsia="Times New Roman" w:hAnsi="Times New Roman" w:cs="Times New Roman"/>
          <w:bCs/>
          <w:color w:val="000000"/>
          <w:sz w:val="24"/>
          <w:szCs w:val="24"/>
        </w:rPr>
        <w:t xml:space="preserve"> </w:t>
      </w:r>
      <w:r w:rsidR="00282E04" w:rsidRPr="0043224D">
        <w:rPr>
          <w:rFonts w:ascii="Times New Roman" w:eastAsia="Times New Roman" w:hAnsi="Times New Roman" w:cs="Times New Roman"/>
          <w:bCs/>
          <w:color w:val="000000"/>
          <w:sz w:val="24"/>
          <w:szCs w:val="24"/>
        </w:rPr>
        <w:t>have been</w:t>
      </w:r>
      <w:r w:rsidR="00771C2D" w:rsidRPr="0043224D">
        <w:rPr>
          <w:rFonts w:ascii="Times New Roman" w:eastAsia="Times New Roman" w:hAnsi="Times New Roman" w:cs="Times New Roman"/>
          <w:bCs/>
          <w:color w:val="000000"/>
          <w:sz w:val="24"/>
          <w:szCs w:val="24"/>
        </w:rPr>
        <w:t xml:space="preserve"> forcibly displaced in the name of commercial agricultural development.</w:t>
      </w:r>
      <w:r w:rsidR="00771C2D" w:rsidRPr="0043224D">
        <w:rPr>
          <w:rStyle w:val="FootnoteReference"/>
          <w:rFonts w:ascii="Times New Roman" w:eastAsia="Times New Roman" w:hAnsi="Times New Roman" w:cs="Times New Roman"/>
          <w:bCs/>
          <w:color w:val="000000"/>
          <w:sz w:val="24"/>
          <w:szCs w:val="24"/>
        </w:rPr>
        <w:footnoteReference w:id="42"/>
      </w:r>
      <w:r w:rsidR="00771C2D" w:rsidRPr="0043224D">
        <w:rPr>
          <w:rFonts w:ascii="Times New Roman" w:eastAsia="Times New Roman" w:hAnsi="Times New Roman" w:cs="Times New Roman"/>
          <w:bCs/>
          <w:color w:val="000000"/>
          <w:sz w:val="24"/>
          <w:szCs w:val="24"/>
        </w:rPr>
        <w:t xml:space="preserve">  </w:t>
      </w:r>
    </w:p>
    <w:p w:rsidR="00771C2D" w:rsidRPr="0043224D" w:rsidRDefault="004F7447" w:rsidP="00060EEC">
      <w:pPr>
        <w:spacing w:line="360" w:lineRule="auto"/>
        <w:ind w:firstLine="720"/>
        <w:rPr>
          <w:rFonts w:ascii="Times New Roman" w:hAnsi="Times New Roman" w:cs="Times New Roman"/>
          <w:sz w:val="24"/>
          <w:szCs w:val="24"/>
        </w:rPr>
      </w:pPr>
      <w:r w:rsidRPr="0043224D">
        <w:rPr>
          <w:rFonts w:ascii="Times New Roman" w:eastAsia="Times New Roman" w:hAnsi="Times New Roman" w:cs="Times New Roman"/>
          <w:bCs/>
          <w:color w:val="000000"/>
          <w:sz w:val="24"/>
          <w:szCs w:val="24"/>
        </w:rPr>
        <w:t xml:space="preserve">Indian </w:t>
      </w:r>
      <w:r w:rsidR="00DD6983" w:rsidRPr="0043224D">
        <w:rPr>
          <w:rFonts w:ascii="Times New Roman" w:eastAsia="Times New Roman" w:hAnsi="Times New Roman" w:cs="Times New Roman"/>
          <w:bCs/>
          <w:color w:val="000000"/>
          <w:sz w:val="24"/>
          <w:szCs w:val="24"/>
        </w:rPr>
        <w:t>writer and social activist</w:t>
      </w:r>
      <w:r w:rsidRPr="0043224D">
        <w:rPr>
          <w:rFonts w:ascii="Times New Roman" w:eastAsia="Times New Roman" w:hAnsi="Times New Roman" w:cs="Times New Roman"/>
          <w:bCs/>
          <w:color w:val="000000"/>
          <w:sz w:val="24"/>
          <w:szCs w:val="24"/>
        </w:rPr>
        <w:t xml:space="preserve"> </w:t>
      </w:r>
      <w:r w:rsidRPr="0043224D">
        <w:rPr>
          <w:rFonts w:ascii="Times New Roman" w:hAnsi="Times New Roman" w:cs="Times New Roman"/>
          <w:sz w:val="24"/>
          <w:szCs w:val="24"/>
        </w:rPr>
        <w:t>Arundhati Roy describes a strikingly similar process</w:t>
      </w:r>
      <w:r w:rsidR="00DD6983" w:rsidRPr="0043224D">
        <w:rPr>
          <w:rFonts w:ascii="Times New Roman" w:hAnsi="Times New Roman" w:cs="Times New Roman"/>
          <w:sz w:val="24"/>
          <w:szCs w:val="24"/>
        </w:rPr>
        <w:t xml:space="preserve"> of development-induced displacement</w:t>
      </w:r>
      <w:r w:rsidRPr="0043224D">
        <w:rPr>
          <w:rFonts w:ascii="Times New Roman" w:hAnsi="Times New Roman" w:cs="Times New Roman"/>
          <w:sz w:val="24"/>
          <w:szCs w:val="24"/>
        </w:rPr>
        <w:t xml:space="preserve"> in her essay in </w:t>
      </w:r>
      <w:r w:rsidRPr="0043224D">
        <w:rPr>
          <w:rFonts w:ascii="Times New Roman" w:hAnsi="Times New Roman" w:cs="Times New Roman"/>
          <w:i/>
          <w:sz w:val="24"/>
          <w:szCs w:val="24"/>
        </w:rPr>
        <w:t xml:space="preserve">The Greater Common Good </w:t>
      </w:r>
      <w:r w:rsidRPr="0043224D">
        <w:rPr>
          <w:rFonts w:ascii="Times New Roman" w:hAnsi="Times New Roman" w:cs="Times New Roman"/>
          <w:sz w:val="24"/>
          <w:szCs w:val="24"/>
        </w:rPr>
        <w:t xml:space="preserve">on the displacement of hundreds of thousands of Indian </w:t>
      </w:r>
      <w:r w:rsidR="000D2976" w:rsidRPr="0043224D">
        <w:rPr>
          <w:rFonts w:ascii="Times New Roman" w:hAnsi="Times New Roman" w:cs="Times New Roman"/>
          <w:sz w:val="24"/>
          <w:szCs w:val="24"/>
        </w:rPr>
        <w:t>villagers</w:t>
      </w:r>
      <w:r w:rsidR="00C01012">
        <w:rPr>
          <w:rFonts w:ascii="Times New Roman" w:hAnsi="Times New Roman" w:cs="Times New Roman"/>
          <w:sz w:val="24"/>
          <w:szCs w:val="24"/>
        </w:rPr>
        <w:t xml:space="preserve"> in the early 1990s</w:t>
      </w:r>
      <w:r w:rsidR="000D2976" w:rsidRPr="0043224D">
        <w:rPr>
          <w:rFonts w:ascii="Times New Roman" w:hAnsi="Times New Roman" w:cs="Times New Roman"/>
          <w:sz w:val="24"/>
          <w:szCs w:val="24"/>
        </w:rPr>
        <w:t xml:space="preserve">, most of whom </w:t>
      </w:r>
      <w:r w:rsidR="00E7442A" w:rsidRPr="0043224D">
        <w:rPr>
          <w:rFonts w:ascii="Times New Roman" w:hAnsi="Times New Roman" w:cs="Times New Roman"/>
          <w:sz w:val="24"/>
          <w:szCs w:val="24"/>
        </w:rPr>
        <w:t>were</w:t>
      </w:r>
      <w:r w:rsidR="000D2976" w:rsidRPr="0043224D">
        <w:rPr>
          <w:rFonts w:ascii="Times New Roman" w:hAnsi="Times New Roman" w:cs="Times New Roman"/>
          <w:sz w:val="24"/>
          <w:szCs w:val="24"/>
        </w:rPr>
        <w:t xml:space="preserve"> predominately tribal (indigenous)</w:t>
      </w:r>
      <w:r w:rsidRPr="0043224D">
        <w:rPr>
          <w:rFonts w:ascii="Times New Roman" w:hAnsi="Times New Roman" w:cs="Times New Roman"/>
          <w:sz w:val="24"/>
          <w:szCs w:val="24"/>
        </w:rPr>
        <w:t xml:space="preserve"> </w:t>
      </w:r>
      <w:r w:rsidR="000D2976" w:rsidRPr="0043224D">
        <w:rPr>
          <w:rFonts w:ascii="Times New Roman" w:hAnsi="Times New Roman" w:cs="Times New Roman"/>
          <w:sz w:val="24"/>
          <w:szCs w:val="24"/>
        </w:rPr>
        <w:t>peoples</w:t>
      </w:r>
      <w:r w:rsidRPr="0043224D">
        <w:rPr>
          <w:rFonts w:ascii="Times New Roman" w:hAnsi="Times New Roman" w:cs="Times New Roman"/>
          <w:sz w:val="24"/>
          <w:szCs w:val="24"/>
        </w:rPr>
        <w:t xml:space="preserve">, </w:t>
      </w:r>
      <w:r w:rsidR="000D2976" w:rsidRPr="0043224D">
        <w:rPr>
          <w:rFonts w:ascii="Times New Roman" w:hAnsi="Times New Roman" w:cs="Times New Roman"/>
          <w:sz w:val="24"/>
          <w:szCs w:val="24"/>
        </w:rPr>
        <w:t>to make way for the construction of the</w:t>
      </w:r>
      <w:r w:rsidR="00DD6983" w:rsidRPr="0043224D">
        <w:rPr>
          <w:rFonts w:ascii="Times New Roman" w:hAnsi="Times New Roman" w:cs="Times New Roman"/>
          <w:sz w:val="24"/>
          <w:szCs w:val="24"/>
        </w:rPr>
        <w:t xml:space="preserve"> World Bank funded</w:t>
      </w:r>
      <w:r w:rsidR="000D2976" w:rsidRPr="0043224D">
        <w:rPr>
          <w:rFonts w:ascii="Times New Roman" w:hAnsi="Times New Roman" w:cs="Times New Roman"/>
          <w:sz w:val="24"/>
          <w:szCs w:val="24"/>
        </w:rPr>
        <w:t xml:space="preserve"> </w:t>
      </w:r>
      <w:r w:rsidRPr="0043224D">
        <w:rPr>
          <w:rFonts w:ascii="Times New Roman" w:hAnsi="Times New Roman" w:cs="Times New Roman"/>
          <w:sz w:val="24"/>
          <w:szCs w:val="24"/>
        </w:rPr>
        <w:t>Sardar Sarovar Dam</w:t>
      </w:r>
      <w:r w:rsidR="000D2976" w:rsidRPr="0043224D">
        <w:rPr>
          <w:rFonts w:ascii="Times New Roman" w:hAnsi="Times New Roman" w:cs="Times New Roman"/>
          <w:sz w:val="24"/>
          <w:szCs w:val="24"/>
        </w:rPr>
        <w:t xml:space="preserve"> project.</w:t>
      </w:r>
      <w:r w:rsidR="000D2976" w:rsidRPr="0043224D">
        <w:rPr>
          <w:rStyle w:val="FootnoteReference"/>
          <w:rFonts w:ascii="Times New Roman" w:hAnsi="Times New Roman" w:cs="Times New Roman"/>
          <w:sz w:val="24"/>
          <w:szCs w:val="24"/>
        </w:rPr>
        <w:footnoteReference w:id="43"/>
      </w:r>
      <w:r w:rsidRPr="0043224D">
        <w:rPr>
          <w:rFonts w:ascii="Times New Roman" w:hAnsi="Times New Roman" w:cs="Times New Roman"/>
          <w:sz w:val="24"/>
          <w:szCs w:val="24"/>
        </w:rPr>
        <w:t xml:space="preserve"> </w:t>
      </w:r>
      <w:r w:rsidR="000D2976" w:rsidRPr="0043224D">
        <w:rPr>
          <w:rFonts w:ascii="Times New Roman" w:hAnsi="Times New Roman" w:cs="Times New Roman"/>
          <w:sz w:val="24"/>
          <w:szCs w:val="24"/>
        </w:rPr>
        <w:t xml:space="preserve">In her essay, </w:t>
      </w:r>
      <w:r w:rsidR="00292879" w:rsidRPr="0043224D">
        <w:rPr>
          <w:rFonts w:ascii="Times New Roman" w:hAnsi="Times New Roman" w:cs="Times New Roman"/>
          <w:sz w:val="24"/>
          <w:szCs w:val="24"/>
        </w:rPr>
        <w:t>Roy</w:t>
      </w:r>
      <w:r w:rsidR="000D2976" w:rsidRPr="0043224D">
        <w:rPr>
          <w:rFonts w:ascii="Times New Roman" w:hAnsi="Times New Roman" w:cs="Times New Roman"/>
          <w:sz w:val="24"/>
          <w:szCs w:val="24"/>
        </w:rPr>
        <w:t xml:space="preserve"> describes how the</w:t>
      </w:r>
      <w:r w:rsidRPr="0043224D">
        <w:rPr>
          <w:rFonts w:ascii="Times New Roman" w:hAnsi="Times New Roman" w:cs="Times New Roman"/>
          <w:sz w:val="24"/>
          <w:szCs w:val="24"/>
        </w:rPr>
        <w:t xml:space="preserve"> “eth</w:t>
      </w:r>
      <w:r w:rsidR="000D2976" w:rsidRPr="0043224D">
        <w:rPr>
          <w:rFonts w:ascii="Times New Roman" w:hAnsi="Times New Roman" w:cs="Times New Roman"/>
          <w:sz w:val="24"/>
          <w:szCs w:val="24"/>
        </w:rPr>
        <w:t>nic otherness” of the indigenous victims, signifying their embedded marginalised status</w:t>
      </w:r>
      <w:r w:rsidR="00DD6983" w:rsidRPr="0043224D">
        <w:rPr>
          <w:rFonts w:ascii="Times New Roman" w:hAnsi="Times New Roman" w:cs="Times New Roman"/>
          <w:sz w:val="24"/>
          <w:szCs w:val="24"/>
        </w:rPr>
        <w:t xml:space="preserve"> within the Indian state</w:t>
      </w:r>
      <w:r w:rsidR="00E7442A" w:rsidRPr="0043224D">
        <w:rPr>
          <w:rFonts w:ascii="Times New Roman" w:hAnsi="Times New Roman" w:cs="Times New Roman"/>
          <w:sz w:val="24"/>
          <w:szCs w:val="24"/>
        </w:rPr>
        <w:t>, absolved</w:t>
      </w:r>
      <w:r w:rsidR="000D2976" w:rsidRPr="0043224D">
        <w:rPr>
          <w:rFonts w:ascii="Times New Roman" w:hAnsi="Times New Roman" w:cs="Times New Roman"/>
          <w:sz w:val="24"/>
          <w:szCs w:val="24"/>
        </w:rPr>
        <w:t xml:space="preserve"> the state of its responsibility towards them: accordingly, they have</w:t>
      </w:r>
      <w:r w:rsidR="00290833" w:rsidRPr="0043224D">
        <w:rPr>
          <w:rFonts w:ascii="Times New Roman" w:hAnsi="Times New Roman" w:cs="Times New Roman"/>
          <w:sz w:val="24"/>
          <w:szCs w:val="24"/>
        </w:rPr>
        <w:t xml:space="preserve"> been,</w:t>
      </w:r>
      <w:r w:rsidR="000D2976" w:rsidRPr="0043224D">
        <w:rPr>
          <w:rFonts w:ascii="Times New Roman" w:hAnsi="Times New Roman" w:cs="Times New Roman"/>
          <w:sz w:val="24"/>
          <w:szCs w:val="24"/>
        </w:rPr>
        <w:t xml:space="preserve"> in her</w:t>
      </w:r>
      <w:r w:rsidR="00DD6983" w:rsidRPr="0043224D">
        <w:rPr>
          <w:rFonts w:ascii="Times New Roman" w:hAnsi="Times New Roman" w:cs="Times New Roman"/>
          <w:sz w:val="24"/>
          <w:szCs w:val="24"/>
        </w:rPr>
        <w:t xml:space="preserve"> evocative</w:t>
      </w:r>
      <w:r w:rsidR="000D2976" w:rsidRPr="0043224D">
        <w:rPr>
          <w:rFonts w:ascii="Times New Roman" w:hAnsi="Times New Roman" w:cs="Times New Roman"/>
          <w:sz w:val="24"/>
          <w:szCs w:val="24"/>
        </w:rPr>
        <w:t xml:space="preserve"> </w:t>
      </w:r>
      <w:r w:rsidR="00DD6983" w:rsidRPr="0043224D">
        <w:rPr>
          <w:rFonts w:ascii="Times New Roman" w:hAnsi="Times New Roman" w:cs="Times New Roman"/>
          <w:sz w:val="24"/>
          <w:szCs w:val="24"/>
        </w:rPr>
        <w:t>phrase</w:t>
      </w:r>
      <w:r w:rsidR="000D2976" w:rsidRPr="0043224D">
        <w:rPr>
          <w:rFonts w:ascii="Times New Roman" w:hAnsi="Times New Roman" w:cs="Times New Roman"/>
          <w:sz w:val="24"/>
          <w:szCs w:val="24"/>
        </w:rPr>
        <w:t>, “</w:t>
      </w:r>
      <w:r w:rsidR="00290833" w:rsidRPr="0043224D">
        <w:rPr>
          <w:rFonts w:ascii="Times New Roman" w:hAnsi="Times New Roman" w:cs="Times New Roman"/>
          <w:sz w:val="24"/>
          <w:szCs w:val="24"/>
        </w:rPr>
        <w:t>Sacrificed...at the a</w:t>
      </w:r>
      <w:r w:rsidR="000D2976" w:rsidRPr="0043224D">
        <w:rPr>
          <w:rFonts w:ascii="Times New Roman" w:hAnsi="Times New Roman" w:cs="Times New Roman"/>
          <w:sz w:val="24"/>
          <w:szCs w:val="24"/>
        </w:rPr>
        <w:t xml:space="preserve">ltar of </w:t>
      </w:r>
      <w:r w:rsidR="00290833" w:rsidRPr="0043224D">
        <w:rPr>
          <w:rFonts w:ascii="Times New Roman" w:hAnsi="Times New Roman" w:cs="Times New Roman"/>
          <w:sz w:val="24"/>
          <w:szCs w:val="24"/>
        </w:rPr>
        <w:t>n</w:t>
      </w:r>
      <w:r w:rsidR="000D2976" w:rsidRPr="0043224D">
        <w:rPr>
          <w:rFonts w:ascii="Times New Roman" w:hAnsi="Times New Roman" w:cs="Times New Roman"/>
          <w:sz w:val="24"/>
          <w:szCs w:val="24"/>
        </w:rPr>
        <w:t xml:space="preserve">ational </w:t>
      </w:r>
      <w:r w:rsidR="00290833" w:rsidRPr="0043224D">
        <w:rPr>
          <w:rFonts w:ascii="Times New Roman" w:hAnsi="Times New Roman" w:cs="Times New Roman"/>
          <w:sz w:val="24"/>
          <w:szCs w:val="24"/>
        </w:rPr>
        <w:t>p</w:t>
      </w:r>
      <w:r w:rsidR="000D2976" w:rsidRPr="0043224D">
        <w:rPr>
          <w:rFonts w:ascii="Times New Roman" w:hAnsi="Times New Roman" w:cs="Times New Roman"/>
          <w:sz w:val="24"/>
          <w:szCs w:val="24"/>
        </w:rPr>
        <w:t>rogress”</w:t>
      </w:r>
      <w:r w:rsidR="000D2976" w:rsidRPr="0043224D">
        <w:rPr>
          <w:rStyle w:val="FootnoteReference"/>
          <w:rFonts w:ascii="Times New Roman" w:hAnsi="Times New Roman" w:cs="Times New Roman"/>
          <w:sz w:val="24"/>
          <w:szCs w:val="24"/>
        </w:rPr>
        <w:footnoteReference w:id="44"/>
      </w:r>
      <w:r w:rsidR="00DD6983" w:rsidRPr="0043224D">
        <w:rPr>
          <w:rFonts w:ascii="Times New Roman" w:hAnsi="Times New Roman" w:cs="Times New Roman"/>
          <w:sz w:val="24"/>
          <w:szCs w:val="24"/>
        </w:rPr>
        <w:t xml:space="preserve"> </w:t>
      </w:r>
      <w:r w:rsidR="00290833" w:rsidRPr="0043224D">
        <w:rPr>
          <w:rFonts w:ascii="Times New Roman" w:hAnsi="Times New Roman" w:cs="Times New Roman"/>
          <w:sz w:val="24"/>
          <w:szCs w:val="24"/>
        </w:rPr>
        <w:t xml:space="preserve"> </w:t>
      </w:r>
    </w:p>
    <w:p w:rsidR="00D27DDF" w:rsidRPr="0081155D" w:rsidRDefault="00E32773" w:rsidP="0043224D">
      <w:pPr>
        <w:pStyle w:val="Heading2"/>
        <w:spacing w:line="360" w:lineRule="auto"/>
        <w:rPr>
          <w:rFonts w:eastAsia="Times New Roman"/>
        </w:rPr>
      </w:pPr>
      <w:bookmarkStart w:id="15" w:name="_Toc399848348"/>
      <w:r>
        <w:t>2.3</w:t>
      </w:r>
      <w:r w:rsidR="008C72BB">
        <w:t xml:space="preserve"> </w:t>
      </w:r>
      <w:r w:rsidR="00586296" w:rsidRPr="0093570F">
        <w:t>Legal Definition</w:t>
      </w:r>
      <w:r w:rsidR="001B2B31" w:rsidRPr="0093570F">
        <w:t xml:space="preserve">s </w:t>
      </w:r>
      <w:r w:rsidR="00ED7C8B" w:rsidRPr="0081155D">
        <w:rPr>
          <w:rFonts w:eastAsia="Times New Roman"/>
        </w:rPr>
        <w:t>and</w:t>
      </w:r>
      <w:r w:rsidR="008C72BB" w:rsidRPr="0081155D">
        <w:rPr>
          <w:rFonts w:eastAsia="Times New Roman"/>
        </w:rPr>
        <w:t xml:space="preserve"> Key</w:t>
      </w:r>
      <w:r w:rsidR="00ED7C8B" w:rsidRPr="0081155D">
        <w:rPr>
          <w:rFonts w:eastAsia="Times New Roman"/>
        </w:rPr>
        <w:t xml:space="preserve"> </w:t>
      </w:r>
      <w:r w:rsidR="000C29A8" w:rsidRPr="0081155D">
        <w:rPr>
          <w:rFonts w:eastAsia="Times New Roman"/>
        </w:rPr>
        <w:t>C</w:t>
      </w:r>
      <w:r w:rsidR="00ED7C8B" w:rsidRPr="0081155D">
        <w:rPr>
          <w:rFonts w:eastAsia="Times New Roman"/>
        </w:rPr>
        <w:t xml:space="preserve">haracteristics </w:t>
      </w:r>
      <w:r w:rsidR="008C72BB" w:rsidRPr="0081155D">
        <w:rPr>
          <w:rFonts w:eastAsia="Times New Roman"/>
        </w:rPr>
        <w:t xml:space="preserve">Common to Global </w:t>
      </w:r>
      <w:r w:rsidR="008C72BB" w:rsidRPr="0081155D">
        <w:t>Indigenous</w:t>
      </w:r>
      <w:r w:rsidR="00586296" w:rsidRPr="0081155D">
        <w:t xml:space="preserve"> </w:t>
      </w:r>
      <w:r w:rsidR="008C72BB" w:rsidRPr="0081155D">
        <w:t>Cultures</w:t>
      </w:r>
      <w:bookmarkEnd w:id="15"/>
      <w:r w:rsidR="008C72BB" w:rsidRPr="0081155D">
        <w:t xml:space="preserve"> </w:t>
      </w:r>
      <w:r w:rsidR="00586296" w:rsidRPr="0081155D">
        <w:t xml:space="preserve"> </w:t>
      </w:r>
    </w:p>
    <w:p w:rsidR="00BA21B7" w:rsidRPr="0043224D" w:rsidRDefault="001668F5" w:rsidP="00060EEC">
      <w:pPr>
        <w:spacing w:before="100" w:beforeAutospacing="1" w:after="100" w:afterAutospacing="1" w:line="360" w:lineRule="auto"/>
        <w:ind w:firstLine="720"/>
        <w:outlineLvl w:val="3"/>
        <w:rPr>
          <w:rFonts w:ascii="Times New Roman" w:eastAsia="Times New Roman" w:hAnsi="Times New Roman" w:cs="Times New Roman"/>
          <w:bCs/>
          <w:color w:val="000000"/>
          <w:sz w:val="24"/>
          <w:szCs w:val="24"/>
        </w:rPr>
      </w:pPr>
      <w:r w:rsidRPr="0043224D">
        <w:rPr>
          <w:rFonts w:ascii="Times New Roman" w:eastAsia="Times New Roman" w:hAnsi="Times New Roman" w:cs="Times New Roman"/>
          <w:bCs/>
          <w:color w:val="000000"/>
          <w:sz w:val="24"/>
          <w:szCs w:val="24"/>
        </w:rPr>
        <w:t>For the purpose</w:t>
      </w:r>
      <w:r w:rsidR="00DD1D0D" w:rsidRPr="0043224D">
        <w:rPr>
          <w:rFonts w:ascii="Times New Roman" w:eastAsia="Times New Roman" w:hAnsi="Times New Roman" w:cs="Times New Roman"/>
          <w:bCs/>
          <w:color w:val="000000"/>
          <w:sz w:val="24"/>
          <w:szCs w:val="24"/>
        </w:rPr>
        <w:t xml:space="preserve"> of this thesis</w:t>
      </w:r>
      <w:r w:rsidR="00CC6960" w:rsidRPr="0043224D">
        <w:rPr>
          <w:rFonts w:ascii="Times New Roman" w:eastAsia="Times New Roman" w:hAnsi="Times New Roman" w:cs="Times New Roman"/>
          <w:bCs/>
          <w:color w:val="000000"/>
          <w:sz w:val="24"/>
          <w:szCs w:val="24"/>
        </w:rPr>
        <w:t>, the definition of indigenous peoples</w:t>
      </w:r>
      <w:r w:rsidR="000A472A" w:rsidRPr="0043224D">
        <w:rPr>
          <w:rFonts w:ascii="Times New Roman" w:eastAsia="Times New Roman" w:hAnsi="Times New Roman" w:cs="Times New Roman"/>
          <w:bCs/>
          <w:color w:val="000000"/>
          <w:sz w:val="24"/>
          <w:szCs w:val="24"/>
        </w:rPr>
        <w:t xml:space="preserve"> set</w:t>
      </w:r>
      <w:r w:rsidR="00CC6960" w:rsidRPr="0043224D">
        <w:rPr>
          <w:rFonts w:ascii="Times New Roman" w:eastAsia="Times New Roman" w:hAnsi="Times New Roman" w:cs="Times New Roman"/>
          <w:bCs/>
          <w:color w:val="000000"/>
          <w:sz w:val="24"/>
          <w:szCs w:val="24"/>
        </w:rPr>
        <w:t xml:space="preserve"> by Jose R. Martinez Cobo</w:t>
      </w:r>
      <w:r w:rsidR="0093570F" w:rsidRPr="0043224D">
        <w:rPr>
          <w:rStyle w:val="FootnoteReference"/>
          <w:rFonts w:ascii="Times New Roman" w:eastAsia="Times New Roman" w:hAnsi="Times New Roman" w:cs="Times New Roman"/>
          <w:bCs/>
          <w:color w:val="000000"/>
          <w:sz w:val="24"/>
          <w:szCs w:val="24"/>
        </w:rPr>
        <w:footnoteReference w:id="45"/>
      </w:r>
      <w:r w:rsidR="00BA21B7" w:rsidRPr="0043224D">
        <w:rPr>
          <w:rFonts w:ascii="Times New Roman" w:eastAsia="Times New Roman" w:hAnsi="Times New Roman" w:cs="Times New Roman"/>
          <w:bCs/>
          <w:color w:val="000000"/>
          <w:sz w:val="24"/>
          <w:szCs w:val="24"/>
        </w:rPr>
        <w:t xml:space="preserve"> </w:t>
      </w:r>
      <w:r w:rsidR="00CC6960" w:rsidRPr="0043224D">
        <w:rPr>
          <w:rFonts w:ascii="Times New Roman" w:hAnsi="Times New Roman" w:cs="Times New Roman"/>
          <w:sz w:val="24"/>
          <w:szCs w:val="24"/>
        </w:rPr>
        <w:t xml:space="preserve">expresses a composite of conceptual ideas </w:t>
      </w:r>
      <w:r w:rsidR="00BA21B7" w:rsidRPr="0043224D">
        <w:rPr>
          <w:rFonts w:ascii="Times New Roman" w:hAnsi="Times New Roman" w:cs="Times New Roman"/>
          <w:sz w:val="24"/>
          <w:szCs w:val="24"/>
        </w:rPr>
        <w:t>to the meaning of indigenous</w:t>
      </w:r>
      <w:r w:rsidR="00E73FEF" w:rsidRPr="0043224D">
        <w:rPr>
          <w:rFonts w:ascii="Times New Roman" w:hAnsi="Times New Roman" w:cs="Times New Roman"/>
          <w:sz w:val="24"/>
          <w:szCs w:val="24"/>
        </w:rPr>
        <w:t xml:space="preserve"> peoples</w:t>
      </w:r>
      <w:r w:rsidR="00675F69" w:rsidRPr="0043224D">
        <w:rPr>
          <w:rFonts w:ascii="Times New Roman" w:hAnsi="Times New Roman" w:cs="Times New Roman"/>
          <w:sz w:val="24"/>
          <w:szCs w:val="24"/>
        </w:rPr>
        <w:t xml:space="preserve"> that are</w:t>
      </w:r>
      <w:r w:rsidR="00436208" w:rsidRPr="0043224D">
        <w:rPr>
          <w:rFonts w:ascii="Times New Roman" w:hAnsi="Times New Roman" w:cs="Times New Roman"/>
          <w:sz w:val="24"/>
          <w:szCs w:val="24"/>
        </w:rPr>
        <w:t xml:space="preserve"> by now</w:t>
      </w:r>
      <w:r w:rsidR="00675F69" w:rsidRPr="0043224D">
        <w:rPr>
          <w:rFonts w:ascii="Times New Roman" w:hAnsi="Times New Roman" w:cs="Times New Roman"/>
          <w:sz w:val="24"/>
          <w:szCs w:val="24"/>
        </w:rPr>
        <w:t xml:space="preserve"> widely accepted</w:t>
      </w:r>
      <w:r w:rsidR="00281A04" w:rsidRPr="0043224D">
        <w:rPr>
          <w:rFonts w:ascii="Times New Roman" w:hAnsi="Times New Roman" w:cs="Times New Roman"/>
          <w:sz w:val="24"/>
          <w:szCs w:val="24"/>
        </w:rPr>
        <w:t xml:space="preserve"> as authoritative,</w:t>
      </w:r>
      <w:r w:rsidR="00675F69" w:rsidRPr="0043224D">
        <w:rPr>
          <w:rFonts w:ascii="Times New Roman" w:hAnsi="Times New Roman" w:cs="Times New Roman"/>
          <w:sz w:val="24"/>
          <w:szCs w:val="24"/>
        </w:rPr>
        <w:t xml:space="preserve"> and</w:t>
      </w:r>
      <w:r w:rsidR="00BA21B7" w:rsidRPr="0043224D">
        <w:rPr>
          <w:rFonts w:ascii="Times New Roman" w:hAnsi="Times New Roman" w:cs="Times New Roman"/>
          <w:sz w:val="24"/>
          <w:szCs w:val="24"/>
        </w:rPr>
        <w:t xml:space="preserve"> which are worth relaying here in full:  </w:t>
      </w:r>
      <w:r w:rsidR="00CC6960" w:rsidRPr="0043224D">
        <w:rPr>
          <w:rFonts w:ascii="Times New Roman" w:eastAsia="Times New Roman" w:hAnsi="Times New Roman" w:cs="Times New Roman"/>
          <w:bCs/>
          <w:color w:val="000000"/>
          <w:sz w:val="24"/>
          <w:szCs w:val="24"/>
        </w:rPr>
        <w:t xml:space="preserve"> </w:t>
      </w:r>
    </w:p>
    <w:p w:rsidR="00BA21B7" w:rsidRPr="0043224D" w:rsidRDefault="00BA21B7" w:rsidP="0043224D">
      <w:pPr>
        <w:spacing w:line="360" w:lineRule="auto"/>
        <w:ind w:left="720"/>
        <w:jc w:val="both"/>
        <w:rPr>
          <w:rFonts w:ascii="Times New Roman" w:hAnsi="Times New Roman" w:cs="Times New Roman"/>
          <w:sz w:val="24"/>
          <w:szCs w:val="24"/>
        </w:rPr>
      </w:pPr>
      <w:r w:rsidRPr="0043224D">
        <w:rPr>
          <w:rFonts w:ascii="Times New Roman" w:hAnsi="Times New Roman" w:cs="Times New Roman"/>
          <w:i/>
          <w:sz w:val="24"/>
          <w:szCs w:val="24"/>
        </w:rPr>
        <w:t>“Indigenous communities, peoples and nations are those which, having a historical continuity with pre-invasion and pre-colonial societies that developed on their territories, consider themselves distinct from other sectors of the societies now prevailing on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w:t>
      </w:r>
      <w:r w:rsidRPr="0043224D">
        <w:rPr>
          <w:rStyle w:val="FootnoteReference"/>
          <w:rFonts w:ascii="Times New Roman" w:hAnsi="Times New Roman" w:cs="Times New Roman"/>
          <w:sz w:val="24"/>
          <w:szCs w:val="24"/>
        </w:rPr>
        <w:footnoteReference w:id="46"/>
      </w:r>
    </w:p>
    <w:p w:rsidR="006257EB" w:rsidRPr="0043224D" w:rsidRDefault="004324D9"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Of particular importance in Cobo’s</w:t>
      </w:r>
      <w:r w:rsidR="006257EB" w:rsidRPr="0043224D">
        <w:rPr>
          <w:rFonts w:ascii="Times New Roman" w:hAnsi="Times New Roman" w:cs="Times New Roman"/>
          <w:sz w:val="24"/>
          <w:szCs w:val="24"/>
        </w:rPr>
        <w:t xml:space="preserve"> definition, given the preceding discussion and the overarching issue of displacement relevant to this thesis, are the</w:t>
      </w:r>
      <w:r w:rsidR="00433B1C" w:rsidRPr="0043224D">
        <w:rPr>
          <w:rFonts w:ascii="Times New Roman" w:hAnsi="Times New Roman" w:cs="Times New Roman"/>
          <w:sz w:val="24"/>
          <w:szCs w:val="24"/>
        </w:rPr>
        <w:t xml:space="preserve"> interlinked</w:t>
      </w:r>
      <w:r w:rsidR="006257EB" w:rsidRPr="0043224D">
        <w:rPr>
          <w:rFonts w:ascii="Times New Roman" w:hAnsi="Times New Roman" w:cs="Times New Roman"/>
          <w:sz w:val="24"/>
          <w:szCs w:val="24"/>
        </w:rPr>
        <w:t xml:space="preserve"> </w:t>
      </w:r>
      <w:r w:rsidR="00433B1C" w:rsidRPr="0043224D">
        <w:rPr>
          <w:rFonts w:ascii="Times New Roman" w:hAnsi="Times New Roman" w:cs="Times New Roman"/>
          <w:sz w:val="24"/>
          <w:szCs w:val="24"/>
        </w:rPr>
        <w:t>concepts</w:t>
      </w:r>
      <w:r w:rsidR="00282E04" w:rsidRPr="0043224D">
        <w:rPr>
          <w:rFonts w:ascii="Times New Roman" w:hAnsi="Times New Roman" w:cs="Times New Roman"/>
          <w:sz w:val="24"/>
          <w:szCs w:val="24"/>
        </w:rPr>
        <w:t xml:space="preserve"> of </w:t>
      </w:r>
      <w:r w:rsidR="00433B1C" w:rsidRPr="0043224D">
        <w:rPr>
          <w:rFonts w:ascii="Times New Roman" w:hAnsi="Times New Roman" w:cs="Times New Roman"/>
          <w:sz w:val="24"/>
          <w:szCs w:val="24"/>
        </w:rPr>
        <w:t>ancestral</w:t>
      </w:r>
      <w:r w:rsidR="00282E04" w:rsidRPr="0043224D">
        <w:rPr>
          <w:rFonts w:ascii="Times New Roman" w:hAnsi="Times New Roman" w:cs="Times New Roman"/>
          <w:sz w:val="24"/>
          <w:szCs w:val="24"/>
        </w:rPr>
        <w:t xml:space="preserve"> </w:t>
      </w:r>
      <w:r w:rsidR="00433B1C" w:rsidRPr="0043224D">
        <w:rPr>
          <w:rFonts w:ascii="Times New Roman" w:hAnsi="Times New Roman" w:cs="Times New Roman"/>
          <w:sz w:val="24"/>
          <w:szCs w:val="24"/>
        </w:rPr>
        <w:t>territories and ethnic and cultural identity. Both of which lay a strong basis for claims of</w:t>
      </w:r>
      <w:r w:rsidR="006257EB" w:rsidRPr="0043224D">
        <w:rPr>
          <w:rFonts w:ascii="Times New Roman" w:hAnsi="Times New Roman" w:cs="Times New Roman"/>
          <w:sz w:val="24"/>
          <w:szCs w:val="24"/>
        </w:rPr>
        <w:t xml:space="preserve"> ownership</w:t>
      </w:r>
      <w:r w:rsidR="00433B1C" w:rsidRPr="0043224D">
        <w:rPr>
          <w:rFonts w:ascii="Times New Roman" w:hAnsi="Times New Roman" w:cs="Times New Roman"/>
          <w:sz w:val="24"/>
          <w:szCs w:val="24"/>
        </w:rPr>
        <w:t xml:space="preserve"> due to a long standing and continued</w:t>
      </w:r>
      <w:r w:rsidR="006257EB" w:rsidRPr="0043224D">
        <w:rPr>
          <w:rFonts w:ascii="Times New Roman" w:hAnsi="Times New Roman" w:cs="Times New Roman"/>
          <w:sz w:val="24"/>
          <w:szCs w:val="24"/>
        </w:rPr>
        <w:t xml:space="preserve"> </w:t>
      </w:r>
      <w:r w:rsidR="00433B1C" w:rsidRPr="0043224D">
        <w:rPr>
          <w:rFonts w:ascii="Times New Roman" w:hAnsi="Times New Roman" w:cs="Times New Roman"/>
          <w:sz w:val="24"/>
          <w:szCs w:val="24"/>
        </w:rPr>
        <w:t>relationship with land, this critical point will be drawn out later in the thesis particularly in connection with key jurisprudence in South America.</w:t>
      </w:r>
    </w:p>
    <w:p w:rsidR="00A72256" w:rsidRPr="0043224D" w:rsidRDefault="00EC0AB9" w:rsidP="00060EEC">
      <w:pPr>
        <w:spacing w:line="360" w:lineRule="auto"/>
        <w:ind w:firstLine="420"/>
        <w:rPr>
          <w:rFonts w:ascii="Times New Roman" w:hAnsi="Times New Roman" w:cs="Times New Roman"/>
          <w:sz w:val="24"/>
          <w:szCs w:val="24"/>
        </w:rPr>
      </w:pPr>
      <w:r w:rsidRPr="0043224D">
        <w:rPr>
          <w:rFonts w:ascii="Times New Roman" w:hAnsi="Times New Roman" w:cs="Times New Roman"/>
          <w:sz w:val="24"/>
          <w:szCs w:val="24"/>
        </w:rPr>
        <w:t>In addition,</w:t>
      </w:r>
      <w:r w:rsidR="007263D2" w:rsidRPr="0043224D">
        <w:rPr>
          <w:rFonts w:ascii="Times New Roman" w:hAnsi="Times New Roman" w:cs="Times New Roman"/>
          <w:sz w:val="24"/>
          <w:szCs w:val="24"/>
        </w:rPr>
        <w:t xml:space="preserve"> </w:t>
      </w:r>
      <w:r w:rsidR="00A72256" w:rsidRPr="0043224D">
        <w:rPr>
          <w:rFonts w:ascii="Times New Roman" w:hAnsi="Times New Roman" w:cs="Times New Roman"/>
          <w:sz w:val="24"/>
          <w:szCs w:val="24"/>
        </w:rPr>
        <w:t>almost twenty years later, the 2005</w:t>
      </w:r>
      <w:r w:rsidR="007263D2" w:rsidRPr="0043224D">
        <w:rPr>
          <w:rFonts w:ascii="Times New Roman" w:hAnsi="Times New Roman" w:cs="Times New Roman"/>
          <w:sz w:val="24"/>
          <w:szCs w:val="24"/>
        </w:rPr>
        <w:t xml:space="preserve"> report of the African Commission’s Working Group of Experts on Indigenous Populations/Communities not only augments the above definition but also chrysalises further the characteristics</w:t>
      </w:r>
      <w:r w:rsidR="00A72256" w:rsidRPr="0043224D">
        <w:rPr>
          <w:rFonts w:ascii="Times New Roman" w:hAnsi="Times New Roman" w:cs="Times New Roman"/>
          <w:sz w:val="24"/>
          <w:szCs w:val="24"/>
        </w:rPr>
        <w:t xml:space="preserve"> shared,</w:t>
      </w:r>
      <w:r w:rsidR="007263D2" w:rsidRPr="0043224D">
        <w:rPr>
          <w:rFonts w:ascii="Times New Roman" w:hAnsi="Times New Roman" w:cs="Times New Roman"/>
          <w:sz w:val="24"/>
          <w:szCs w:val="24"/>
        </w:rPr>
        <w:t xml:space="preserve"> and the </w:t>
      </w:r>
      <w:r w:rsidR="00A72256" w:rsidRPr="0043224D">
        <w:rPr>
          <w:rFonts w:ascii="Times New Roman" w:hAnsi="Times New Roman" w:cs="Times New Roman"/>
          <w:sz w:val="24"/>
          <w:szCs w:val="24"/>
        </w:rPr>
        <w:t>universal</w:t>
      </w:r>
      <w:r w:rsidR="007263D2" w:rsidRPr="0043224D">
        <w:rPr>
          <w:rFonts w:ascii="Times New Roman" w:hAnsi="Times New Roman" w:cs="Times New Roman"/>
          <w:sz w:val="24"/>
          <w:szCs w:val="24"/>
        </w:rPr>
        <w:t xml:space="preserve"> problems faced</w:t>
      </w:r>
      <w:r w:rsidR="00A72256" w:rsidRPr="0043224D">
        <w:rPr>
          <w:rFonts w:ascii="Times New Roman" w:hAnsi="Times New Roman" w:cs="Times New Roman"/>
          <w:sz w:val="24"/>
          <w:szCs w:val="24"/>
        </w:rPr>
        <w:t>,</w:t>
      </w:r>
      <w:r w:rsidR="007263D2" w:rsidRPr="0043224D">
        <w:rPr>
          <w:rFonts w:ascii="Times New Roman" w:hAnsi="Times New Roman" w:cs="Times New Roman"/>
          <w:sz w:val="24"/>
          <w:szCs w:val="24"/>
        </w:rPr>
        <w:t xml:space="preserve"> by </w:t>
      </w:r>
      <w:r w:rsidR="00C15470" w:rsidRPr="0043224D">
        <w:rPr>
          <w:rFonts w:ascii="Times New Roman" w:hAnsi="Times New Roman" w:cs="Times New Roman"/>
          <w:sz w:val="24"/>
          <w:szCs w:val="24"/>
        </w:rPr>
        <w:t xml:space="preserve">indigenous </w:t>
      </w:r>
      <w:r w:rsidR="00A72256" w:rsidRPr="0043224D">
        <w:rPr>
          <w:rFonts w:ascii="Times New Roman" w:hAnsi="Times New Roman" w:cs="Times New Roman"/>
          <w:sz w:val="24"/>
          <w:szCs w:val="24"/>
        </w:rPr>
        <w:t xml:space="preserve">peoples. </w:t>
      </w:r>
      <w:r w:rsidR="00F243B1" w:rsidRPr="0043224D">
        <w:rPr>
          <w:rFonts w:ascii="Times New Roman" w:hAnsi="Times New Roman" w:cs="Times New Roman"/>
          <w:sz w:val="24"/>
          <w:szCs w:val="24"/>
        </w:rPr>
        <w:t xml:space="preserve">The </w:t>
      </w:r>
      <w:r w:rsidR="002F74DF" w:rsidRPr="0043224D">
        <w:rPr>
          <w:rFonts w:ascii="Times New Roman" w:hAnsi="Times New Roman" w:cs="Times New Roman"/>
          <w:sz w:val="24"/>
          <w:szCs w:val="24"/>
        </w:rPr>
        <w:t>Working Group</w:t>
      </w:r>
      <w:r w:rsidR="00F243B1" w:rsidRPr="0043224D">
        <w:rPr>
          <w:rFonts w:ascii="Times New Roman" w:hAnsi="Times New Roman" w:cs="Times New Roman"/>
          <w:sz w:val="24"/>
          <w:szCs w:val="24"/>
        </w:rPr>
        <w:t>’s mandate</w:t>
      </w:r>
      <w:r w:rsidR="002F74DF" w:rsidRPr="0043224D">
        <w:rPr>
          <w:rFonts w:ascii="Times New Roman" w:hAnsi="Times New Roman" w:cs="Times New Roman"/>
          <w:sz w:val="24"/>
          <w:szCs w:val="24"/>
        </w:rPr>
        <w:t xml:space="preserve"> was to explore the concept of indigenous peoples and analyse the scope of their rights under the African Charter on Human and Peoples’ Rights (The African Charter). In this connection, t</w:t>
      </w:r>
      <w:r w:rsidR="00A72256" w:rsidRPr="0043224D">
        <w:rPr>
          <w:rFonts w:ascii="Times New Roman" w:hAnsi="Times New Roman" w:cs="Times New Roman"/>
          <w:sz w:val="24"/>
          <w:szCs w:val="24"/>
        </w:rPr>
        <w:t xml:space="preserve">he </w:t>
      </w:r>
      <w:r w:rsidR="00436208" w:rsidRPr="0043224D">
        <w:rPr>
          <w:rFonts w:ascii="Times New Roman" w:hAnsi="Times New Roman" w:cs="Times New Roman"/>
          <w:sz w:val="24"/>
          <w:szCs w:val="24"/>
        </w:rPr>
        <w:t>Working G</w:t>
      </w:r>
      <w:r w:rsidR="00A72256" w:rsidRPr="0043224D">
        <w:rPr>
          <w:rFonts w:ascii="Times New Roman" w:hAnsi="Times New Roman" w:cs="Times New Roman"/>
          <w:sz w:val="24"/>
          <w:szCs w:val="24"/>
        </w:rPr>
        <w:t xml:space="preserve">roup identified five key characteristics common to all self-identified groups: </w:t>
      </w:r>
    </w:p>
    <w:p w:rsidR="00A72256" w:rsidRPr="0043224D" w:rsidRDefault="00A72256" w:rsidP="0043224D">
      <w:pPr>
        <w:pStyle w:val="ListParagraph"/>
        <w:numPr>
          <w:ilvl w:val="0"/>
          <w:numId w:val="2"/>
        </w:numPr>
        <w:spacing w:line="360" w:lineRule="auto"/>
        <w:rPr>
          <w:rFonts w:ascii="Times New Roman" w:hAnsi="Times New Roman" w:cs="Times New Roman"/>
          <w:i/>
          <w:sz w:val="24"/>
          <w:szCs w:val="24"/>
        </w:rPr>
      </w:pPr>
      <w:r w:rsidRPr="0043224D">
        <w:rPr>
          <w:rFonts w:ascii="Times New Roman" w:hAnsi="Times New Roman" w:cs="Times New Roman"/>
          <w:i/>
          <w:sz w:val="24"/>
          <w:szCs w:val="24"/>
        </w:rPr>
        <w:t>their culture and way of life differ considerably from the dominant society, to the extent that their culture is under threat of extinction</w:t>
      </w:r>
    </w:p>
    <w:p w:rsidR="00A72256" w:rsidRPr="0043224D" w:rsidRDefault="00A72256" w:rsidP="0043224D">
      <w:pPr>
        <w:pStyle w:val="ListParagraph"/>
        <w:numPr>
          <w:ilvl w:val="0"/>
          <w:numId w:val="2"/>
        </w:numPr>
        <w:spacing w:line="360" w:lineRule="auto"/>
        <w:rPr>
          <w:rFonts w:ascii="Times New Roman" w:hAnsi="Times New Roman" w:cs="Times New Roman"/>
          <w:i/>
          <w:sz w:val="24"/>
          <w:szCs w:val="24"/>
        </w:rPr>
      </w:pPr>
      <w:r w:rsidRPr="0043224D">
        <w:rPr>
          <w:rFonts w:ascii="Times New Roman" w:hAnsi="Times New Roman" w:cs="Times New Roman"/>
          <w:i/>
          <w:sz w:val="24"/>
          <w:szCs w:val="24"/>
        </w:rPr>
        <w:t>the survival of their particular way of life depends on access to lands and natural resources</w:t>
      </w:r>
    </w:p>
    <w:p w:rsidR="00A72256" w:rsidRPr="0043224D" w:rsidRDefault="00A72256" w:rsidP="0043224D">
      <w:pPr>
        <w:pStyle w:val="ListParagraph"/>
        <w:numPr>
          <w:ilvl w:val="0"/>
          <w:numId w:val="2"/>
        </w:numPr>
        <w:spacing w:line="360" w:lineRule="auto"/>
        <w:rPr>
          <w:rFonts w:ascii="Times New Roman" w:hAnsi="Times New Roman" w:cs="Times New Roman"/>
          <w:i/>
          <w:sz w:val="24"/>
          <w:szCs w:val="24"/>
        </w:rPr>
      </w:pPr>
      <w:r w:rsidRPr="0043224D">
        <w:rPr>
          <w:rFonts w:ascii="Times New Roman" w:hAnsi="Times New Roman" w:cs="Times New Roman"/>
          <w:i/>
          <w:sz w:val="24"/>
          <w:szCs w:val="24"/>
        </w:rPr>
        <w:t>they suffer from discrimination as they a</w:t>
      </w:r>
      <w:r w:rsidR="00436208" w:rsidRPr="0043224D">
        <w:rPr>
          <w:rFonts w:ascii="Times New Roman" w:hAnsi="Times New Roman" w:cs="Times New Roman"/>
          <w:i/>
          <w:sz w:val="24"/>
          <w:szCs w:val="24"/>
        </w:rPr>
        <w:t>re</w:t>
      </w:r>
      <w:r w:rsidRPr="0043224D">
        <w:rPr>
          <w:rFonts w:ascii="Times New Roman" w:hAnsi="Times New Roman" w:cs="Times New Roman"/>
          <w:i/>
          <w:sz w:val="24"/>
          <w:szCs w:val="24"/>
        </w:rPr>
        <w:t xml:space="preserve"> regarded as less developed and less advanced than other more dominant sectors of society</w:t>
      </w:r>
    </w:p>
    <w:p w:rsidR="00A72256" w:rsidRPr="0043224D" w:rsidRDefault="00A72256" w:rsidP="0043224D">
      <w:pPr>
        <w:pStyle w:val="ListParagraph"/>
        <w:numPr>
          <w:ilvl w:val="0"/>
          <w:numId w:val="2"/>
        </w:numPr>
        <w:spacing w:line="360" w:lineRule="auto"/>
        <w:rPr>
          <w:rFonts w:ascii="Times New Roman" w:hAnsi="Times New Roman" w:cs="Times New Roman"/>
          <w:i/>
          <w:sz w:val="24"/>
          <w:szCs w:val="24"/>
        </w:rPr>
      </w:pPr>
      <w:r w:rsidRPr="0043224D">
        <w:rPr>
          <w:rFonts w:ascii="Times New Roman" w:hAnsi="Times New Roman" w:cs="Times New Roman"/>
          <w:i/>
          <w:sz w:val="24"/>
          <w:szCs w:val="24"/>
        </w:rPr>
        <w:t>they often live in inaccessible regions and are often geographically isolated</w:t>
      </w:r>
    </w:p>
    <w:p w:rsidR="00A72256" w:rsidRPr="0043224D" w:rsidRDefault="00A72256" w:rsidP="0043224D">
      <w:pPr>
        <w:pStyle w:val="ListParagraph"/>
        <w:numPr>
          <w:ilvl w:val="0"/>
          <w:numId w:val="2"/>
        </w:numPr>
        <w:spacing w:line="360" w:lineRule="auto"/>
        <w:rPr>
          <w:rFonts w:ascii="Times New Roman" w:hAnsi="Times New Roman" w:cs="Times New Roman"/>
          <w:sz w:val="24"/>
          <w:szCs w:val="24"/>
        </w:rPr>
      </w:pPr>
      <w:r w:rsidRPr="0043224D">
        <w:rPr>
          <w:rFonts w:ascii="Times New Roman" w:hAnsi="Times New Roman" w:cs="Times New Roman"/>
          <w:i/>
          <w:sz w:val="24"/>
          <w:szCs w:val="24"/>
        </w:rPr>
        <w:t>they are subject to domination and exploitation within national political and econ</w:t>
      </w:r>
      <w:r w:rsidR="00284B49" w:rsidRPr="0043224D">
        <w:rPr>
          <w:rFonts w:ascii="Times New Roman" w:hAnsi="Times New Roman" w:cs="Times New Roman"/>
          <w:i/>
          <w:sz w:val="24"/>
          <w:szCs w:val="24"/>
        </w:rPr>
        <w:t>omic structures</w:t>
      </w:r>
      <w:r w:rsidR="00284B49" w:rsidRPr="0043224D">
        <w:rPr>
          <w:rFonts w:ascii="Times New Roman" w:hAnsi="Times New Roman" w:cs="Times New Roman"/>
          <w:sz w:val="24"/>
          <w:szCs w:val="24"/>
        </w:rPr>
        <w:t>.</w:t>
      </w:r>
      <w:r w:rsidRPr="0043224D">
        <w:rPr>
          <w:rStyle w:val="FootnoteReference"/>
          <w:rFonts w:ascii="Times New Roman" w:hAnsi="Times New Roman" w:cs="Times New Roman"/>
          <w:sz w:val="24"/>
          <w:szCs w:val="24"/>
        </w:rPr>
        <w:footnoteReference w:id="47"/>
      </w:r>
    </w:p>
    <w:p w:rsidR="0053042A" w:rsidRPr="0043224D" w:rsidRDefault="00ED7852" w:rsidP="00060EEC">
      <w:pPr>
        <w:spacing w:line="360" w:lineRule="auto"/>
        <w:ind w:left="60" w:firstLine="360"/>
        <w:rPr>
          <w:rFonts w:ascii="Times New Roman" w:hAnsi="Times New Roman" w:cs="Times New Roman"/>
          <w:sz w:val="24"/>
          <w:szCs w:val="24"/>
        </w:rPr>
      </w:pPr>
      <w:r w:rsidRPr="0043224D">
        <w:rPr>
          <w:rFonts w:ascii="Times New Roman" w:hAnsi="Times New Roman" w:cs="Times New Roman"/>
          <w:sz w:val="24"/>
          <w:szCs w:val="24"/>
        </w:rPr>
        <w:t xml:space="preserve">The final </w:t>
      </w:r>
      <w:r w:rsidR="00EF4138" w:rsidRPr="0043224D">
        <w:rPr>
          <w:rFonts w:ascii="Times New Roman" w:hAnsi="Times New Roman" w:cs="Times New Roman"/>
          <w:sz w:val="24"/>
          <w:szCs w:val="24"/>
        </w:rPr>
        <w:t>characteristic</w:t>
      </w:r>
      <w:r w:rsidR="003452B6" w:rsidRPr="0043224D">
        <w:rPr>
          <w:rFonts w:ascii="Times New Roman" w:hAnsi="Times New Roman" w:cs="Times New Roman"/>
          <w:sz w:val="24"/>
          <w:szCs w:val="24"/>
        </w:rPr>
        <w:t xml:space="preserve"> on “domination and exploitation”</w:t>
      </w:r>
      <w:r w:rsidRPr="0043224D">
        <w:rPr>
          <w:rFonts w:ascii="Times New Roman" w:hAnsi="Times New Roman" w:cs="Times New Roman"/>
          <w:sz w:val="24"/>
          <w:szCs w:val="24"/>
        </w:rPr>
        <w:t xml:space="preserve"> which the Working Group identified is of </w:t>
      </w:r>
      <w:r w:rsidR="00EF4138" w:rsidRPr="0043224D">
        <w:rPr>
          <w:rFonts w:ascii="Times New Roman" w:hAnsi="Times New Roman" w:cs="Times New Roman"/>
          <w:sz w:val="24"/>
          <w:szCs w:val="24"/>
        </w:rPr>
        <w:t>vital</w:t>
      </w:r>
      <w:r w:rsidRPr="0043224D">
        <w:rPr>
          <w:rFonts w:ascii="Times New Roman" w:hAnsi="Times New Roman" w:cs="Times New Roman"/>
          <w:sz w:val="24"/>
          <w:szCs w:val="24"/>
        </w:rPr>
        <w:t xml:space="preserve"> significance</w:t>
      </w:r>
      <w:r w:rsidR="00EF4138" w:rsidRPr="0043224D">
        <w:rPr>
          <w:rFonts w:ascii="Times New Roman" w:hAnsi="Times New Roman" w:cs="Times New Roman"/>
          <w:sz w:val="24"/>
          <w:szCs w:val="24"/>
        </w:rPr>
        <w:t>.</w:t>
      </w:r>
      <w:r w:rsidRPr="0043224D">
        <w:rPr>
          <w:rFonts w:ascii="Times New Roman" w:hAnsi="Times New Roman" w:cs="Times New Roman"/>
          <w:sz w:val="24"/>
          <w:szCs w:val="24"/>
        </w:rPr>
        <w:t xml:space="preserve"> </w:t>
      </w:r>
      <w:r w:rsidR="00E73FEF" w:rsidRPr="0043224D">
        <w:rPr>
          <w:rFonts w:ascii="Times New Roman" w:hAnsi="Times New Roman" w:cs="Times New Roman"/>
          <w:sz w:val="24"/>
          <w:szCs w:val="24"/>
        </w:rPr>
        <w:t>This thesis will argue</w:t>
      </w:r>
      <w:r w:rsidR="00023B20" w:rsidRPr="0043224D">
        <w:rPr>
          <w:rFonts w:ascii="Times New Roman" w:hAnsi="Times New Roman" w:cs="Times New Roman"/>
          <w:sz w:val="24"/>
          <w:szCs w:val="24"/>
        </w:rPr>
        <w:t xml:space="preserve">, </w:t>
      </w:r>
      <w:r w:rsidR="00352315" w:rsidRPr="0043224D">
        <w:rPr>
          <w:rFonts w:ascii="Times New Roman" w:hAnsi="Times New Roman" w:cs="Times New Roman"/>
          <w:sz w:val="24"/>
          <w:szCs w:val="24"/>
        </w:rPr>
        <w:t>inter alia</w:t>
      </w:r>
      <w:r w:rsidR="00023B20" w:rsidRPr="0043224D">
        <w:rPr>
          <w:rFonts w:ascii="Times New Roman" w:hAnsi="Times New Roman" w:cs="Times New Roman"/>
          <w:sz w:val="24"/>
          <w:szCs w:val="24"/>
        </w:rPr>
        <w:t>,</w:t>
      </w:r>
      <w:r w:rsidR="00E73FEF" w:rsidRPr="0043224D">
        <w:rPr>
          <w:rFonts w:ascii="Times New Roman" w:hAnsi="Times New Roman" w:cs="Times New Roman"/>
          <w:sz w:val="24"/>
          <w:szCs w:val="24"/>
        </w:rPr>
        <w:t xml:space="preserve"> that n</w:t>
      </w:r>
      <w:r w:rsidR="00EF4138" w:rsidRPr="0043224D">
        <w:rPr>
          <w:rFonts w:ascii="Times New Roman" w:hAnsi="Times New Roman" w:cs="Times New Roman"/>
          <w:sz w:val="24"/>
          <w:szCs w:val="24"/>
        </w:rPr>
        <w:t>ational policies and economic structures, both domestic and</w:t>
      </w:r>
      <w:r w:rsidR="00EF4138" w:rsidRPr="0043224D">
        <w:rPr>
          <w:rFonts w:ascii="Times New Roman" w:hAnsi="Times New Roman" w:cs="Times New Roman"/>
          <w:i/>
          <w:sz w:val="24"/>
          <w:szCs w:val="24"/>
        </w:rPr>
        <w:t xml:space="preserve"> </w:t>
      </w:r>
      <w:r w:rsidR="00EF4138" w:rsidRPr="0043224D">
        <w:rPr>
          <w:rFonts w:ascii="Times New Roman" w:hAnsi="Times New Roman" w:cs="Times New Roman"/>
          <w:sz w:val="24"/>
          <w:szCs w:val="24"/>
        </w:rPr>
        <w:t xml:space="preserve">global, are in fact deeply inimical to indigenous </w:t>
      </w:r>
      <w:r w:rsidR="00281A04" w:rsidRPr="0043224D">
        <w:rPr>
          <w:rFonts w:ascii="Times New Roman" w:hAnsi="Times New Roman" w:cs="Times New Roman"/>
          <w:sz w:val="24"/>
          <w:szCs w:val="24"/>
        </w:rPr>
        <w:t>people’s</w:t>
      </w:r>
      <w:r w:rsidR="00EF4138" w:rsidRPr="0043224D">
        <w:rPr>
          <w:rFonts w:ascii="Times New Roman" w:hAnsi="Times New Roman" w:cs="Times New Roman"/>
          <w:sz w:val="24"/>
          <w:szCs w:val="24"/>
        </w:rPr>
        <w:t xml:space="preserve"> survival. </w:t>
      </w:r>
      <w:r w:rsidR="00EB3F7F" w:rsidRPr="0043224D">
        <w:rPr>
          <w:rFonts w:ascii="Times New Roman" w:hAnsi="Times New Roman" w:cs="Times New Roman"/>
          <w:sz w:val="24"/>
          <w:szCs w:val="24"/>
        </w:rPr>
        <w:t xml:space="preserve">Commercial resource extraction and infrastructural projects on indigenous lands and territories are made possible by a complex nexus involving </w:t>
      </w:r>
      <w:r w:rsidR="00023B20" w:rsidRPr="0043224D">
        <w:rPr>
          <w:rFonts w:ascii="Times New Roman" w:hAnsi="Times New Roman" w:cs="Times New Roman"/>
          <w:sz w:val="24"/>
          <w:szCs w:val="24"/>
        </w:rPr>
        <w:t>state</w:t>
      </w:r>
      <w:r w:rsidR="003452B6" w:rsidRPr="0043224D">
        <w:rPr>
          <w:rFonts w:ascii="Times New Roman" w:hAnsi="Times New Roman" w:cs="Times New Roman"/>
          <w:sz w:val="24"/>
          <w:szCs w:val="24"/>
        </w:rPr>
        <w:t xml:space="preserve"> development policies</w:t>
      </w:r>
      <w:r w:rsidR="00EB3F7F" w:rsidRPr="0043224D">
        <w:rPr>
          <w:rFonts w:ascii="Times New Roman" w:hAnsi="Times New Roman" w:cs="Times New Roman"/>
          <w:sz w:val="24"/>
          <w:szCs w:val="24"/>
        </w:rPr>
        <w:t xml:space="preserve">, global </w:t>
      </w:r>
      <w:r w:rsidR="00772A09" w:rsidRPr="0043224D">
        <w:rPr>
          <w:rFonts w:ascii="Times New Roman" w:hAnsi="Times New Roman" w:cs="Times New Roman"/>
          <w:sz w:val="24"/>
          <w:szCs w:val="24"/>
        </w:rPr>
        <w:t xml:space="preserve">energy </w:t>
      </w:r>
      <w:r w:rsidR="00EB3F7F" w:rsidRPr="0043224D">
        <w:rPr>
          <w:rFonts w:ascii="Times New Roman" w:hAnsi="Times New Roman" w:cs="Times New Roman"/>
          <w:sz w:val="24"/>
          <w:szCs w:val="24"/>
        </w:rPr>
        <w:t>markets,</w:t>
      </w:r>
      <w:r w:rsidR="005A64AE">
        <w:rPr>
          <w:rFonts w:ascii="Times New Roman" w:hAnsi="Times New Roman" w:cs="Times New Roman"/>
          <w:sz w:val="24"/>
          <w:szCs w:val="24"/>
        </w:rPr>
        <w:t xml:space="preserve"> international investors,</w:t>
      </w:r>
      <w:r w:rsidR="00EB3F7F" w:rsidRPr="0043224D">
        <w:rPr>
          <w:rFonts w:ascii="Times New Roman" w:hAnsi="Times New Roman" w:cs="Times New Roman"/>
          <w:sz w:val="24"/>
          <w:szCs w:val="24"/>
        </w:rPr>
        <w:t xml:space="preserve"> and multilateral development organisations.</w:t>
      </w:r>
      <w:r w:rsidR="00772A09" w:rsidRPr="0043224D">
        <w:rPr>
          <w:rFonts w:ascii="Times New Roman" w:hAnsi="Times New Roman" w:cs="Times New Roman"/>
          <w:sz w:val="24"/>
          <w:szCs w:val="24"/>
        </w:rPr>
        <w:t xml:space="preserve"> </w:t>
      </w:r>
      <w:r w:rsidR="00EB3F7F" w:rsidRPr="0043224D">
        <w:rPr>
          <w:rFonts w:ascii="Times New Roman" w:hAnsi="Times New Roman" w:cs="Times New Roman"/>
          <w:sz w:val="24"/>
          <w:szCs w:val="24"/>
        </w:rPr>
        <w:t xml:space="preserve"> The highlighting of this critical point by the</w:t>
      </w:r>
      <w:r w:rsidR="00436208" w:rsidRPr="0043224D">
        <w:rPr>
          <w:rFonts w:ascii="Times New Roman" w:hAnsi="Times New Roman" w:cs="Times New Roman"/>
          <w:sz w:val="24"/>
          <w:szCs w:val="24"/>
        </w:rPr>
        <w:t xml:space="preserve"> African Commission’s</w:t>
      </w:r>
      <w:r w:rsidR="00EB3F7F" w:rsidRPr="0043224D">
        <w:rPr>
          <w:rFonts w:ascii="Times New Roman" w:hAnsi="Times New Roman" w:cs="Times New Roman"/>
          <w:sz w:val="24"/>
          <w:szCs w:val="24"/>
        </w:rPr>
        <w:t xml:space="preserve"> Working Group </w:t>
      </w:r>
      <w:r w:rsidR="0053042A" w:rsidRPr="0043224D">
        <w:rPr>
          <w:rFonts w:ascii="Times New Roman" w:hAnsi="Times New Roman" w:cs="Times New Roman"/>
          <w:sz w:val="24"/>
          <w:szCs w:val="24"/>
        </w:rPr>
        <w:t xml:space="preserve">illustrates </w:t>
      </w:r>
      <w:r w:rsidR="00EB3F7F" w:rsidRPr="0043224D">
        <w:rPr>
          <w:rFonts w:ascii="Times New Roman" w:hAnsi="Times New Roman" w:cs="Times New Roman"/>
          <w:sz w:val="24"/>
          <w:szCs w:val="24"/>
        </w:rPr>
        <w:t>a growing co</w:t>
      </w:r>
      <w:r w:rsidR="005A64AE">
        <w:rPr>
          <w:rFonts w:ascii="Times New Roman" w:hAnsi="Times New Roman" w:cs="Times New Roman"/>
          <w:sz w:val="24"/>
          <w:szCs w:val="24"/>
        </w:rPr>
        <w:t>gnisance of this complex threat.</w:t>
      </w:r>
      <w:r w:rsidR="003452B6" w:rsidRPr="0043224D">
        <w:rPr>
          <w:rFonts w:ascii="Times New Roman" w:hAnsi="Times New Roman" w:cs="Times New Roman"/>
          <w:sz w:val="24"/>
          <w:szCs w:val="24"/>
        </w:rPr>
        <w:t xml:space="preserve"> </w:t>
      </w:r>
      <w:r w:rsidR="005A64AE" w:rsidRPr="0043224D">
        <w:rPr>
          <w:rFonts w:ascii="Times New Roman" w:hAnsi="Times New Roman" w:cs="Times New Roman"/>
          <w:sz w:val="24"/>
          <w:szCs w:val="24"/>
        </w:rPr>
        <w:t>Furthermore</w:t>
      </w:r>
      <w:r w:rsidR="003452B6" w:rsidRPr="0043224D">
        <w:rPr>
          <w:rFonts w:ascii="Times New Roman" w:hAnsi="Times New Roman" w:cs="Times New Roman"/>
          <w:sz w:val="24"/>
          <w:szCs w:val="24"/>
        </w:rPr>
        <w:t>,</w:t>
      </w:r>
      <w:r w:rsidR="000F7809" w:rsidRPr="0043224D">
        <w:rPr>
          <w:rFonts w:ascii="Times New Roman" w:hAnsi="Times New Roman" w:cs="Times New Roman"/>
          <w:sz w:val="24"/>
          <w:szCs w:val="24"/>
        </w:rPr>
        <w:t xml:space="preserve"> the Working Group</w:t>
      </w:r>
      <w:r w:rsidR="00460FC5" w:rsidRPr="0043224D">
        <w:rPr>
          <w:rFonts w:ascii="Times New Roman" w:hAnsi="Times New Roman" w:cs="Times New Roman"/>
          <w:sz w:val="24"/>
          <w:szCs w:val="24"/>
        </w:rPr>
        <w:t>’s</w:t>
      </w:r>
      <w:r w:rsidR="000F7809" w:rsidRPr="0043224D">
        <w:rPr>
          <w:rFonts w:ascii="Times New Roman" w:hAnsi="Times New Roman" w:cs="Times New Roman"/>
          <w:sz w:val="24"/>
          <w:szCs w:val="24"/>
        </w:rPr>
        <w:t xml:space="preserve"> insight</w:t>
      </w:r>
      <w:r w:rsidR="00436208" w:rsidRPr="0043224D">
        <w:rPr>
          <w:rFonts w:ascii="Times New Roman" w:hAnsi="Times New Roman" w:cs="Times New Roman"/>
          <w:sz w:val="24"/>
          <w:szCs w:val="24"/>
        </w:rPr>
        <w:t xml:space="preserve"> </w:t>
      </w:r>
      <w:r w:rsidR="00181F4D" w:rsidRPr="0043224D">
        <w:rPr>
          <w:rFonts w:ascii="Times New Roman" w:hAnsi="Times New Roman" w:cs="Times New Roman"/>
          <w:sz w:val="24"/>
          <w:szCs w:val="24"/>
        </w:rPr>
        <w:t xml:space="preserve">regarding </w:t>
      </w:r>
      <w:r w:rsidR="000F7809" w:rsidRPr="0043224D">
        <w:rPr>
          <w:rFonts w:ascii="Times New Roman" w:hAnsi="Times New Roman" w:cs="Times New Roman"/>
          <w:sz w:val="24"/>
          <w:szCs w:val="24"/>
        </w:rPr>
        <w:t xml:space="preserve">indigenous population’s </w:t>
      </w:r>
      <w:r w:rsidR="00772A09" w:rsidRPr="0043224D">
        <w:rPr>
          <w:rFonts w:ascii="Times New Roman" w:hAnsi="Times New Roman" w:cs="Times New Roman"/>
          <w:sz w:val="24"/>
          <w:szCs w:val="24"/>
        </w:rPr>
        <w:t>“</w:t>
      </w:r>
      <w:r w:rsidR="000F7809" w:rsidRPr="0043224D">
        <w:rPr>
          <w:rFonts w:ascii="Times New Roman" w:hAnsi="Times New Roman" w:cs="Times New Roman"/>
          <w:sz w:val="24"/>
          <w:szCs w:val="24"/>
        </w:rPr>
        <w:t>acc</w:t>
      </w:r>
      <w:r w:rsidR="003452B6" w:rsidRPr="0043224D">
        <w:rPr>
          <w:rFonts w:ascii="Times New Roman" w:hAnsi="Times New Roman" w:cs="Times New Roman"/>
          <w:sz w:val="24"/>
          <w:szCs w:val="24"/>
        </w:rPr>
        <w:t>ess to their land and</w:t>
      </w:r>
      <w:r w:rsidR="00772A09" w:rsidRPr="0043224D">
        <w:rPr>
          <w:rFonts w:ascii="Times New Roman" w:hAnsi="Times New Roman" w:cs="Times New Roman"/>
          <w:sz w:val="24"/>
          <w:szCs w:val="24"/>
        </w:rPr>
        <w:t xml:space="preserve"> natural</w:t>
      </w:r>
      <w:r w:rsidR="003452B6" w:rsidRPr="0043224D">
        <w:rPr>
          <w:rFonts w:ascii="Times New Roman" w:hAnsi="Times New Roman" w:cs="Times New Roman"/>
          <w:sz w:val="24"/>
          <w:szCs w:val="24"/>
        </w:rPr>
        <w:t xml:space="preserve"> resources</w:t>
      </w:r>
      <w:r w:rsidR="00772A09" w:rsidRPr="0043224D">
        <w:rPr>
          <w:rFonts w:ascii="Times New Roman" w:hAnsi="Times New Roman" w:cs="Times New Roman"/>
          <w:sz w:val="24"/>
          <w:szCs w:val="24"/>
        </w:rPr>
        <w:t>”</w:t>
      </w:r>
      <w:r w:rsidR="003452B6" w:rsidRPr="0043224D">
        <w:rPr>
          <w:rFonts w:ascii="Times New Roman" w:hAnsi="Times New Roman" w:cs="Times New Roman"/>
          <w:sz w:val="24"/>
          <w:szCs w:val="24"/>
        </w:rPr>
        <w:t xml:space="preserve"> is central in understanding</w:t>
      </w:r>
      <w:r w:rsidR="00EB3F7F" w:rsidRPr="0043224D">
        <w:rPr>
          <w:rFonts w:ascii="Times New Roman" w:hAnsi="Times New Roman" w:cs="Times New Roman"/>
          <w:i/>
          <w:sz w:val="24"/>
          <w:szCs w:val="24"/>
        </w:rPr>
        <w:t xml:space="preserve"> </w:t>
      </w:r>
      <w:r w:rsidR="00EB3F7F" w:rsidRPr="0043224D">
        <w:rPr>
          <w:rFonts w:ascii="Times New Roman" w:hAnsi="Times New Roman" w:cs="Times New Roman"/>
          <w:sz w:val="24"/>
          <w:szCs w:val="24"/>
        </w:rPr>
        <w:t>the unique</w:t>
      </w:r>
      <w:r w:rsidR="00EC0AB9" w:rsidRPr="0043224D">
        <w:rPr>
          <w:rFonts w:ascii="Times New Roman" w:hAnsi="Times New Roman" w:cs="Times New Roman"/>
          <w:sz w:val="24"/>
          <w:szCs w:val="24"/>
        </w:rPr>
        <w:t xml:space="preserve"> symbiotic</w:t>
      </w:r>
      <w:r w:rsidR="00EB3F7F" w:rsidRPr="0043224D">
        <w:rPr>
          <w:rFonts w:ascii="Times New Roman" w:hAnsi="Times New Roman" w:cs="Times New Roman"/>
          <w:sz w:val="24"/>
          <w:szCs w:val="24"/>
        </w:rPr>
        <w:t xml:space="preserve"> socio-cultural relationship</w:t>
      </w:r>
      <w:r w:rsidR="0053042A" w:rsidRPr="0043224D">
        <w:rPr>
          <w:rFonts w:ascii="Times New Roman" w:hAnsi="Times New Roman" w:cs="Times New Roman"/>
          <w:sz w:val="24"/>
          <w:szCs w:val="24"/>
        </w:rPr>
        <w:t xml:space="preserve"> that indigenous people have with</w:t>
      </w:r>
      <w:r w:rsidR="000F7809" w:rsidRPr="0043224D">
        <w:rPr>
          <w:rFonts w:ascii="Times New Roman" w:hAnsi="Times New Roman" w:cs="Times New Roman"/>
          <w:sz w:val="24"/>
          <w:szCs w:val="24"/>
        </w:rPr>
        <w:t xml:space="preserve"> their</w:t>
      </w:r>
      <w:r w:rsidR="0053042A" w:rsidRPr="0043224D">
        <w:rPr>
          <w:rFonts w:ascii="Times New Roman" w:hAnsi="Times New Roman" w:cs="Times New Roman"/>
          <w:sz w:val="24"/>
          <w:szCs w:val="24"/>
        </w:rPr>
        <w:t xml:space="preserve"> land</w:t>
      </w:r>
      <w:r w:rsidR="00772A09" w:rsidRPr="0043224D">
        <w:rPr>
          <w:rFonts w:ascii="Times New Roman" w:hAnsi="Times New Roman" w:cs="Times New Roman"/>
          <w:sz w:val="24"/>
          <w:szCs w:val="24"/>
        </w:rPr>
        <w:t>, and the</w:t>
      </w:r>
      <w:r w:rsidR="00EC0AB9" w:rsidRPr="0043224D">
        <w:rPr>
          <w:rFonts w:ascii="Times New Roman" w:hAnsi="Times New Roman" w:cs="Times New Roman"/>
          <w:sz w:val="24"/>
          <w:szCs w:val="24"/>
        </w:rPr>
        <w:t xml:space="preserve"> very real threats and</w:t>
      </w:r>
      <w:r w:rsidR="00772A09" w:rsidRPr="0043224D">
        <w:rPr>
          <w:rFonts w:ascii="Times New Roman" w:hAnsi="Times New Roman" w:cs="Times New Roman"/>
          <w:sz w:val="24"/>
          <w:szCs w:val="24"/>
        </w:rPr>
        <w:t xml:space="preserve"> challenges to that relationship</w:t>
      </w:r>
      <w:r w:rsidR="0053042A" w:rsidRPr="0043224D">
        <w:rPr>
          <w:rFonts w:ascii="Times New Roman" w:hAnsi="Times New Roman" w:cs="Times New Roman"/>
          <w:sz w:val="24"/>
          <w:szCs w:val="24"/>
        </w:rPr>
        <w:t>.</w:t>
      </w:r>
      <w:r w:rsidR="00EB3F7F" w:rsidRPr="0043224D">
        <w:rPr>
          <w:rFonts w:ascii="Times New Roman" w:hAnsi="Times New Roman" w:cs="Times New Roman"/>
          <w:sz w:val="24"/>
          <w:szCs w:val="24"/>
        </w:rPr>
        <w:t xml:space="preserve"> </w:t>
      </w:r>
      <w:r w:rsidR="0053042A" w:rsidRPr="0043224D">
        <w:rPr>
          <w:rFonts w:ascii="Times New Roman" w:hAnsi="Times New Roman" w:cs="Times New Roman"/>
          <w:sz w:val="24"/>
          <w:szCs w:val="24"/>
        </w:rPr>
        <w:t xml:space="preserve"> </w:t>
      </w:r>
      <w:r w:rsidR="00EB3F7F" w:rsidRPr="0043224D">
        <w:rPr>
          <w:rFonts w:ascii="Times New Roman" w:hAnsi="Times New Roman" w:cs="Times New Roman"/>
          <w:sz w:val="24"/>
          <w:szCs w:val="24"/>
        </w:rPr>
        <w:t xml:space="preserve">    </w:t>
      </w:r>
      <w:r w:rsidRPr="0043224D">
        <w:rPr>
          <w:rFonts w:ascii="Times New Roman" w:hAnsi="Times New Roman" w:cs="Times New Roman"/>
          <w:sz w:val="24"/>
          <w:szCs w:val="24"/>
        </w:rPr>
        <w:t xml:space="preserve">  </w:t>
      </w:r>
      <w:r w:rsidR="00723849" w:rsidRPr="0043224D">
        <w:rPr>
          <w:rFonts w:ascii="Times New Roman" w:hAnsi="Times New Roman" w:cs="Times New Roman"/>
          <w:sz w:val="24"/>
          <w:szCs w:val="24"/>
        </w:rPr>
        <w:t xml:space="preserve"> </w:t>
      </w:r>
    </w:p>
    <w:p w:rsidR="005726FC" w:rsidRPr="0043224D" w:rsidRDefault="00C15470" w:rsidP="00060EEC">
      <w:pPr>
        <w:spacing w:line="360" w:lineRule="auto"/>
        <w:ind w:left="60" w:firstLine="360"/>
        <w:rPr>
          <w:rFonts w:ascii="Times New Roman" w:hAnsi="Times New Roman" w:cs="Times New Roman"/>
          <w:sz w:val="24"/>
          <w:szCs w:val="24"/>
        </w:rPr>
      </w:pPr>
      <w:r w:rsidRPr="0043224D">
        <w:rPr>
          <w:rFonts w:ascii="Times New Roman" w:hAnsi="Times New Roman" w:cs="Times New Roman"/>
          <w:sz w:val="24"/>
          <w:szCs w:val="24"/>
        </w:rPr>
        <w:t>The report goes onto to note</w:t>
      </w:r>
      <w:r w:rsidR="00D21FA7" w:rsidRPr="0043224D">
        <w:rPr>
          <w:rFonts w:ascii="Times New Roman" w:hAnsi="Times New Roman" w:cs="Times New Roman"/>
          <w:sz w:val="24"/>
          <w:szCs w:val="24"/>
        </w:rPr>
        <w:t xml:space="preserve"> </w:t>
      </w:r>
      <w:r w:rsidRPr="0043224D">
        <w:rPr>
          <w:rFonts w:ascii="Times New Roman" w:hAnsi="Times New Roman" w:cs="Times New Roman"/>
          <w:sz w:val="24"/>
          <w:szCs w:val="24"/>
        </w:rPr>
        <w:t xml:space="preserve">that geographically </w:t>
      </w:r>
      <w:r w:rsidR="00D21FA7" w:rsidRPr="0043224D">
        <w:rPr>
          <w:rFonts w:ascii="Times New Roman" w:hAnsi="Times New Roman" w:cs="Times New Roman"/>
          <w:sz w:val="24"/>
          <w:szCs w:val="24"/>
        </w:rPr>
        <w:t>remote and ethnically different</w:t>
      </w:r>
      <w:r w:rsidR="00284B49" w:rsidRPr="0043224D">
        <w:rPr>
          <w:rFonts w:ascii="Times New Roman" w:hAnsi="Times New Roman" w:cs="Times New Roman"/>
          <w:sz w:val="24"/>
          <w:szCs w:val="24"/>
        </w:rPr>
        <w:t xml:space="preserve"> indigenous groups (</w:t>
      </w:r>
      <w:r w:rsidRPr="0043224D">
        <w:rPr>
          <w:rFonts w:ascii="Times New Roman" w:hAnsi="Times New Roman" w:cs="Times New Roman"/>
          <w:sz w:val="24"/>
          <w:szCs w:val="24"/>
        </w:rPr>
        <w:t>pastoralists, hunter gatherers, semi-nomadi</w:t>
      </w:r>
      <w:r w:rsidR="00284B49" w:rsidRPr="0043224D">
        <w:rPr>
          <w:rFonts w:ascii="Times New Roman" w:hAnsi="Times New Roman" w:cs="Times New Roman"/>
          <w:sz w:val="24"/>
          <w:szCs w:val="24"/>
        </w:rPr>
        <w:t>c tribes)</w:t>
      </w:r>
      <w:r w:rsidRPr="0043224D">
        <w:rPr>
          <w:rFonts w:ascii="Times New Roman" w:hAnsi="Times New Roman" w:cs="Times New Roman"/>
          <w:sz w:val="24"/>
          <w:szCs w:val="24"/>
        </w:rPr>
        <w:t xml:space="preserve"> have historically been categorised as problem groups by states</w:t>
      </w:r>
      <w:r w:rsidR="00723849" w:rsidRPr="0043224D">
        <w:rPr>
          <w:rFonts w:ascii="Times New Roman" w:hAnsi="Times New Roman" w:cs="Times New Roman"/>
          <w:sz w:val="24"/>
          <w:szCs w:val="24"/>
        </w:rPr>
        <w:t>. Furthermore</w:t>
      </w:r>
      <w:r w:rsidR="00D21FA7" w:rsidRPr="0043224D">
        <w:rPr>
          <w:rFonts w:ascii="Times New Roman" w:hAnsi="Times New Roman" w:cs="Times New Roman"/>
          <w:sz w:val="24"/>
          <w:szCs w:val="24"/>
        </w:rPr>
        <w:t xml:space="preserve"> the</w:t>
      </w:r>
      <w:r w:rsidR="00772A09" w:rsidRPr="0043224D">
        <w:rPr>
          <w:rFonts w:ascii="Times New Roman" w:hAnsi="Times New Roman" w:cs="Times New Roman"/>
          <w:sz w:val="24"/>
          <w:szCs w:val="24"/>
        </w:rPr>
        <w:t xml:space="preserve"> report observes that the</w:t>
      </w:r>
      <w:r w:rsidR="00D21FA7" w:rsidRPr="0043224D">
        <w:rPr>
          <w:rFonts w:ascii="Times New Roman" w:hAnsi="Times New Roman" w:cs="Times New Roman"/>
          <w:sz w:val="24"/>
          <w:szCs w:val="24"/>
        </w:rPr>
        <w:t xml:space="preserve"> discrimination and domination suffered by these groups duri</w:t>
      </w:r>
      <w:r w:rsidR="00772A09" w:rsidRPr="0043224D">
        <w:rPr>
          <w:rFonts w:ascii="Times New Roman" w:hAnsi="Times New Roman" w:cs="Times New Roman"/>
          <w:sz w:val="24"/>
          <w:szCs w:val="24"/>
        </w:rPr>
        <w:t>ng the colonial period</w:t>
      </w:r>
      <w:r w:rsidR="00D21FA7" w:rsidRPr="0043224D">
        <w:rPr>
          <w:rFonts w:ascii="Times New Roman" w:hAnsi="Times New Roman" w:cs="Times New Roman"/>
          <w:sz w:val="24"/>
          <w:szCs w:val="24"/>
        </w:rPr>
        <w:t xml:space="preserve"> is replicated</w:t>
      </w:r>
      <w:r w:rsidR="00772A09" w:rsidRPr="0043224D">
        <w:rPr>
          <w:rFonts w:ascii="Times New Roman" w:hAnsi="Times New Roman" w:cs="Times New Roman"/>
          <w:sz w:val="24"/>
          <w:szCs w:val="24"/>
        </w:rPr>
        <w:t xml:space="preserve"> and</w:t>
      </w:r>
      <w:r w:rsidR="00D21FA7" w:rsidRPr="0043224D">
        <w:rPr>
          <w:rFonts w:ascii="Times New Roman" w:hAnsi="Times New Roman" w:cs="Times New Roman"/>
          <w:sz w:val="24"/>
          <w:szCs w:val="24"/>
        </w:rPr>
        <w:t xml:space="preserve"> </w:t>
      </w:r>
      <w:r w:rsidR="00772A09" w:rsidRPr="0043224D">
        <w:rPr>
          <w:rFonts w:ascii="Times New Roman" w:hAnsi="Times New Roman" w:cs="Times New Roman"/>
          <w:sz w:val="24"/>
          <w:szCs w:val="24"/>
        </w:rPr>
        <w:t xml:space="preserve">continues apace </w:t>
      </w:r>
      <w:r w:rsidR="00D21FA7" w:rsidRPr="0043224D">
        <w:rPr>
          <w:rFonts w:ascii="Times New Roman" w:hAnsi="Times New Roman" w:cs="Times New Roman"/>
          <w:sz w:val="24"/>
          <w:szCs w:val="24"/>
        </w:rPr>
        <w:t>today in modern African states</w:t>
      </w:r>
      <w:r w:rsidRPr="0043224D">
        <w:rPr>
          <w:rFonts w:ascii="Times New Roman" w:hAnsi="Times New Roman" w:cs="Times New Roman"/>
          <w:sz w:val="24"/>
          <w:szCs w:val="24"/>
        </w:rPr>
        <w:t>.</w:t>
      </w:r>
      <w:r w:rsidR="00ED7852" w:rsidRPr="0043224D">
        <w:rPr>
          <w:rStyle w:val="FootnoteReference"/>
          <w:rFonts w:ascii="Times New Roman" w:hAnsi="Times New Roman" w:cs="Times New Roman"/>
          <w:sz w:val="24"/>
          <w:szCs w:val="24"/>
        </w:rPr>
        <w:footnoteReference w:id="48"/>
      </w:r>
      <w:r w:rsidR="00ED7852" w:rsidRPr="0043224D">
        <w:rPr>
          <w:rFonts w:ascii="Times New Roman" w:hAnsi="Times New Roman" w:cs="Times New Roman"/>
          <w:sz w:val="24"/>
          <w:szCs w:val="24"/>
        </w:rPr>
        <w:t xml:space="preserve"> </w:t>
      </w:r>
      <w:r w:rsidR="001668F5" w:rsidRPr="0043224D">
        <w:rPr>
          <w:rFonts w:ascii="Times New Roman" w:hAnsi="Times New Roman" w:cs="Times New Roman"/>
          <w:sz w:val="24"/>
          <w:szCs w:val="24"/>
        </w:rPr>
        <w:t xml:space="preserve"> </w:t>
      </w:r>
      <w:r w:rsidR="00ED7852" w:rsidRPr="0043224D">
        <w:rPr>
          <w:rFonts w:ascii="Times New Roman" w:hAnsi="Times New Roman" w:cs="Times New Roman"/>
          <w:sz w:val="24"/>
          <w:szCs w:val="24"/>
        </w:rPr>
        <w:t>This “problematising” of marginalised indigenous groups deemed to be “primitive” by modern states,</w:t>
      </w:r>
      <w:r w:rsidR="00EF4138" w:rsidRPr="0043224D">
        <w:rPr>
          <w:rFonts w:ascii="Times New Roman" w:hAnsi="Times New Roman" w:cs="Times New Roman"/>
          <w:sz w:val="24"/>
          <w:szCs w:val="24"/>
        </w:rPr>
        <w:t xml:space="preserve"> and by </w:t>
      </w:r>
      <w:r w:rsidR="00772A09" w:rsidRPr="0043224D">
        <w:rPr>
          <w:rFonts w:ascii="Times New Roman" w:hAnsi="Times New Roman" w:cs="Times New Roman"/>
          <w:sz w:val="24"/>
          <w:szCs w:val="24"/>
        </w:rPr>
        <w:t xml:space="preserve">implication </w:t>
      </w:r>
      <w:r w:rsidR="00EF4138" w:rsidRPr="0043224D">
        <w:rPr>
          <w:rFonts w:ascii="Times New Roman" w:hAnsi="Times New Roman" w:cs="Times New Roman"/>
          <w:sz w:val="24"/>
          <w:szCs w:val="24"/>
        </w:rPr>
        <w:t>in th</w:t>
      </w:r>
      <w:r w:rsidR="00723849" w:rsidRPr="0043224D">
        <w:rPr>
          <w:rFonts w:ascii="Times New Roman" w:hAnsi="Times New Roman" w:cs="Times New Roman"/>
          <w:sz w:val="24"/>
          <w:szCs w:val="24"/>
        </w:rPr>
        <w:t xml:space="preserve">e way of national progress and </w:t>
      </w:r>
      <w:r w:rsidR="00EF4138" w:rsidRPr="0043224D">
        <w:rPr>
          <w:rFonts w:ascii="Times New Roman" w:hAnsi="Times New Roman" w:cs="Times New Roman"/>
          <w:sz w:val="24"/>
          <w:szCs w:val="24"/>
        </w:rPr>
        <w:t xml:space="preserve">the </w:t>
      </w:r>
      <w:r w:rsidR="00723849" w:rsidRPr="0043224D">
        <w:rPr>
          <w:rFonts w:ascii="Times New Roman" w:hAnsi="Times New Roman" w:cs="Times New Roman"/>
          <w:sz w:val="24"/>
          <w:szCs w:val="24"/>
        </w:rPr>
        <w:t>“</w:t>
      </w:r>
      <w:r w:rsidR="00EF4138" w:rsidRPr="0043224D">
        <w:rPr>
          <w:rFonts w:ascii="Times New Roman" w:hAnsi="Times New Roman" w:cs="Times New Roman"/>
          <w:sz w:val="24"/>
          <w:szCs w:val="24"/>
        </w:rPr>
        <w:t>public interest” in industrial and infrastructural development</w:t>
      </w:r>
      <w:r w:rsidR="00ED7852" w:rsidRPr="0043224D">
        <w:rPr>
          <w:rFonts w:ascii="Times New Roman" w:hAnsi="Times New Roman" w:cs="Times New Roman"/>
          <w:sz w:val="24"/>
          <w:szCs w:val="24"/>
        </w:rPr>
        <w:t xml:space="preserve"> is</w:t>
      </w:r>
      <w:r w:rsidR="00EF4138" w:rsidRPr="0043224D">
        <w:rPr>
          <w:rFonts w:ascii="Times New Roman" w:hAnsi="Times New Roman" w:cs="Times New Roman"/>
          <w:sz w:val="24"/>
          <w:szCs w:val="24"/>
        </w:rPr>
        <w:t>,</w:t>
      </w:r>
      <w:r w:rsidR="00ED7852" w:rsidRPr="0043224D">
        <w:rPr>
          <w:rFonts w:ascii="Times New Roman" w:hAnsi="Times New Roman" w:cs="Times New Roman"/>
          <w:sz w:val="24"/>
          <w:szCs w:val="24"/>
        </w:rPr>
        <w:t xml:space="preserve"> </w:t>
      </w:r>
      <w:r w:rsidR="00EF4138" w:rsidRPr="0043224D">
        <w:rPr>
          <w:rFonts w:ascii="Times New Roman" w:hAnsi="Times New Roman" w:cs="Times New Roman"/>
          <w:sz w:val="24"/>
          <w:szCs w:val="24"/>
        </w:rPr>
        <w:t xml:space="preserve">however, </w:t>
      </w:r>
      <w:r w:rsidR="00ED7852" w:rsidRPr="0043224D">
        <w:rPr>
          <w:rFonts w:ascii="Times New Roman" w:hAnsi="Times New Roman" w:cs="Times New Roman"/>
          <w:sz w:val="24"/>
          <w:szCs w:val="24"/>
        </w:rPr>
        <w:t>not confined to the African continent</w:t>
      </w:r>
      <w:r w:rsidR="00772A09" w:rsidRPr="0043224D">
        <w:rPr>
          <w:rFonts w:ascii="Times New Roman" w:hAnsi="Times New Roman" w:cs="Times New Roman"/>
          <w:sz w:val="24"/>
          <w:szCs w:val="24"/>
        </w:rPr>
        <w:t xml:space="preserve"> as the </w:t>
      </w:r>
      <w:r w:rsidR="007431F4" w:rsidRPr="0043224D">
        <w:rPr>
          <w:rFonts w:ascii="Times New Roman" w:hAnsi="Times New Roman" w:cs="Times New Roman"/>
          <w:sz w:val="24"/>
          <w:szCs w:val="24"/>
        </w:rPr>
        <w:t>following chapters explore.</w:t>
      </w:r>
    </w:p>
    <w:p w:rsidR="005726FC" w:rsidRPr="00ED6F51" w:rsidRDefault="00E32773" w:rsidP="0043224D">
      <w:pPr>
        <w:pStyle w:val="Heading3"/>
        <w:spacing w:line="360" w:lineRule="auto"/>
      </w:pPr>
      <w:bookmarkStart w:id="16" w:name="_Toc399848349"/>
      <w:r w:rsidRPr="00ED6F51">
        <w:t>2.3</w:t>
      </w:r>
      <w:r w:rsidR="00780666" w:rsidRPr="00ED6F51">
        <w:t>.1</w:t>
      </w:r>
      <w:r w:rsidR="002B6143" w:rsidRPr="00ED6F51">
        <w:t xml:space="preserve"> </w:t>
      </w:r>
      <w:r w:rsidR="00D575CF" w:rsidRPr="00ED6F51">
        <w:t>Dispossession</w:t>
      </w:r>
      <w:r w:rsidRPr="00ED6F51">
        <w:t xml:space="preserve"> and</w:t>
      </w:r>
      <w:r w:rsidR="00B37EF0" w:rsidRPr="00ED6F51">
        <w:t xml:space="preserve"> </w:t>
      </w:r>
      <w:r w:rsidRPr="00ED6F51">
        <w:t xml:space="preserve">Displacement </w:t>
      </w:r>
      <w:r w:rsidR="00B37EF0" w:rsidRPr="00ED6F51">
        <w:t>in the Context</w:t>
      </w:r>
      <w:r w:rsidR="005726FC" w:rsidRPr="00ED6F51">
        <w:t xml:space="preserve"> of Indigenous</w:t>
      </w:r>
      <w:r w:rsidRPr="00ED6F51">
        <w:t xml:space="preserve"> People</w:t>
      </w:r>
      <w:r w:rsidR="00EF17C1" w:rsidRPr="00ED6F51">
        <w:t>s</w:t>
      </w:r>
      <w:r w:rsidRPr="00ED6F51">
        <w:t>, Particularly</w:t>
      </w:r>
      <w:r w:rsidR="00251304" w:rsidRPr="00ED6F51">
        <w:t xml:space="preserve"> the </w:t>
      </w:r>
      <w:r w:rsidRPr="00ED6F51">
        <w:t>D</w:t>
      </w:r>
      <w:r w:rsidR="00772279" w:rsidRPr="00ED6F51">
        <w:t>isplacement</w:t>
      </w:r>
      <w:r w:rsidR="00251304" w:rsidRPr="00ED6F51">
        <w:t xml:space="preserve"> o</w:t>
      </w:r>
      <w:r w:rsidR="00772279" w:rsidRPr="00ED6F51">
        <w:t xml:space="preserve">f </w:t>
      </w:r>
      <w:r w:rsidR="00281A04" w:rsidRPr="00ED6F51">
        <w:t>Indigenous</w:t>
      </w:r>
      <w:r w:rsidR="005726FC" w:rsidRPr="00ED6F51">
        <w:t xml:space="preserve"> Nomadic Peoples</w:t>
      </w:r>
      <w:r w:rsidR="00281A04" w:rsidRPr="00ED6F51">
        <w:t xml:space="preserve"> (INPs)</w:t>
      </w:r>
      <w:r w:rsidR="005726FC" w:rsidRPr="00ED6F51">
        <w:t>.</w:t>
      </w:r>
      <w:bookmarkEnd w:id="16"/>
      <w:r w:rsidR="005726FC" w:rsidRPr="00ED6F51">
        <w:t xml:space="preserve"> </w:t>
      </w:r>
    </w:p>
    <w:p w:rsidR="00145EAA" w:rsidRPr="0043224D" w:rsidRDefault="00251F64"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At this point, </w:t>
      </w:r>
      <w:r w:rsidR="000C00B5" w:rsidRPr="0043224D">
        <w:rPr>
          <w:rFonts w:ascii="Times New Roman" w:hAnsi="Times New Roman" w:cs="Times New Roman"/>
          <w:sz w:val="24"/>
          <w:szCs w:val="24"/>
        </w:rPr>
        <w:t>it is important to clarify</w:t>
      </w:r>
      <w:r w:rsidR="00780666" w:rsidRPr="0043224D">
        <w:rPr>
          <w:rFonts w:ascii="Times New Roman" w:hAnsi="Times New Roman" w:cs="Times New Roman"/>
          <w:sz w:val="24"/>
          <w:szCs w:val="24"/>
        </w:rPr>
        <w:t xml:space="preserve"> the term “dispossession” and its socio-cultural meaning in the discourse surrounding the displacement of indigenous peoples as a result development projects</w:t>
      </w:r>
      <w:r w:rsidR="00281A04" w:rsidRPr="0043224D">
        <w:rPr>
          <w:rFonts w:ascii="Times New Roman" w:hAnsi="Times New Roman" w:cs="Times New Roman"/>
          <w:sz w:val="24"/>
          <w:szCs w:val="24"/>
        </w:rPr>
        <w:t>.</w:t>
      </w:r>
      <w:r w:rsidR="00D264FC" w:rsidRPr="0043224D">
        <w:rPr>
          <w:rFonts w:ascii="Times New Roman" w:hAnsi="Times New Roman" w:cs="Times New Roman"/>
          <w:sz w:val="24"/>
          <w:szCs w:val="24"/>
        </w:rPr>
        <w:t xml:space="preserve"> </w:t>
      </w:r>
      <w:r w:rsidR="00B244CF" w:rsidRPr="0043224D">
        <w:rPr>
          <w:rFonts w:ascii="Times New Roman" w:hAnsi="Times New Roman" w:cs="Times New Roman"/>
          <w:sz w:val="24"/>
          <w:szCs w:val="24"/>
        </w:rPr>
        <w:t>To do so is of critical importance</w:t>
      </w:r>
      <w:r w:rsidR="00145EAA" w:rsidRPr="0043224D">
        <w:rPr>
          <w:rFonts w:ascii="Times New Roman" w:hAnsi="Times New Roman" w:cs="Times New Roman"/>
          <w:sz w:val="24"/>
          <w:szCs w:val="24"/>
        </w:rPr>
        <w:t xml:space="preserve"> as it is central to understanding the worst excesses</w:t>
      </w:r>
      <w:r w:rsidR="005A64AE">
        <w:rPr>
          <w:rFonts w:ascii="Times New Roman" w:hAnsi="Times New Roman" w:cs="Times New Roman"/>
          <w:sz w:val="24"/>
          <w:szCs w:val="24"/>
        </w:rPr>
        <w:t xml:space="preserve"> of</w:t>
      </w:r>
      <w:r w:rsidR="00145EAA" w:rsidRPr="0043224D">
        <w:rPr>
          <w:rFonts w:ascii="Times New Roman" w:hAnsi="Times New Roman" w:cs="Times New Roman"/>
          <w:sz w:val="24"/>
          <w:szCs w:val="24"/>
        </w:rPr>
        <w:t xml:space="preserve"> </w:t>
      </w:r>
      <w:r w:rsidR="00413555" w:rsidRPr="0043224D">
        <w:rPr>
          <w:rFonts w:ascii="Times New Roman" w:hAnsi="Times New Roman" w:cs="Times New Roman"/>
          <w:sz w:val="24"/>
          <w:szCs w:val="24"/>
        </w:rPr>
        <w:t>modern</w:t>
      </w:r>
      <w:r w:rsidR="00145EAA" w:rsidRPr="0043224D">
        <w:rPr>
          <w:rFonts w:ascii="Times New Roman" w:hAnsi="Times New Roman" w:cs="Times New Roman"/>
          <w:sz w:val="24"/>
          <w:szCs w:val="24"/>
        </w:rPr>
        <w:t xml:space="preserve"> development</w:t>
      </w:r>
      <w:r w:rsidR="005A64AE">
        <w:rPr>
          <w:rFonts w:ascii="Times New Roman" w:hAnsi="Times New Roman" w:cs="Times New Roman"/>
          <w:sz w:val="24"/>
          <w:szCs w:val="24"/>
        </w:rPr>
        <w:t>al</w:t>
      </w:r>
      <w:r w:rsidR="00145EAA" w:rsidRPr="0043224D">
        <w:rPr>
          <w:rFonts w:ascii="Times New Roman" w:hAnsi="Times New Roman" w:cs="Times New Roman"/>
          <w:sz w:val="24"/>
          <w:szCs w:val="24"/>
        </w:rPr>
        <w:t xml:space="preserve"> process</w:t>
      </w:r>
      <w:r w:rsidR="00413555" w:rsidRPr="0043224D">
        <w:rPr>
          <w:rFonts w:ascii="Times New Roman" w:hAnsi="Times New Roman" w:cs="Times New Roman"/>
          <w:sz w:val="24"/>
          <w:szCs w:val="24"/>
        </w:rPr>
        <w:t>es</w:t>
      </w:r>
      <w:r w:rsidR="00145EAA" w:rsidRPr="0043224D">
        <w:rPr>
          <w:rFonts w:ascii="Times New Roman" w:hAnsi="Times New Roman" w:cs="Times New Roman"/>
          <w:sz w:val="24"/>
          <w:szCs w:val="24"/>
        </w:rPr>
        <w:t>. The UN Permanent Forum on Indigenous Issues (UNPFII) recognised this pivotal point in 2007</w:t>
      </w:r>
      <w:r w:rsidR="00413555" w:rsidRPr="0043224D">
        <w:rPr>
          <w:rFonts w:ascii="Times New Roman" w:hAnsi="Times New Roman" w:cs="Times New Roman"/>
          <w:sz w:val="24"/>
          <w:szCs w:val="24"/>
        </w:rPr>
        <w:t>, commenting</w:t>
      </w:r>
      <w:r w:rsidR="00145EAA" w:rsidRPr="0043224D">
        <w:rPr>
          <w:rFonts w:ascii="Times New Roman" w:hAnsi="Times New Roman" w:cs="Times New Roman"/>
          <w:sz w:val="24"/>
          <w:szCs w:val="24"/>
        </w:rPr>
        <w:t xml:space="preserve"> that development policies and actions, “</w:t>
      </w:r>
      <w:r w:rsidR="001668F5" w:rsidRPr="0043224D">
        <w:rPr>
          <w:rFonts w:ascii="Times New Roman" w:hAnsi="Times New Roman" w:cs="Times New Roman"/>
          <w:sz w:val="24"/>
          <w:szCs w:val="24"/>
        </w:rPr>
        <w:t>[H]</w:t>
      </w:r>
      <w:r w:rsidR="00145EAA" w:rsidRPr="0043224D">
        <w:rPr>
          <w:rFonts w:ascii="Times New Roman" w:hAnsi="Times New Roman" w:cs="Times New Roman"/>
          <w:sz w:val="24"/>
          <w:szCs w:val="24"/>
        </w:rPr>
        <w:t xml:space="preserve">ave undermined and discriminated against </w:t>
      </w:r>
      <w:r w:rsidR="00E009BD" w:rsidRPr="0043224D">
        <w:rPr>
          <w:rFonts w:ascii="Times New Roman" w:hAnsi="Times New Roman" w:cs="Times New Roman"/>
          <w:sz w:val="24"/>
          <w:szCs w:val="24"/>
        </w:rPr>
        <w:t>[indigenous]</w:t>
      </w:r>
      <w:r w:rsidR="00145EAA" w:rsidRPr="0043224D">
        <w:rPr>
          <w:rFonts w:ascii="Times New Roman" w:hAnsi="Times New Roman" w:cs="Times New Roman"/>
          <w:sz w:val="24"/>
          <w:szCs w:val="24"/>
        </w:rPr>
        <w:t xml:space="preserve"> customary land tenure and resource management systems, expropriated their lands, extracted their resources without their consent and </w:t>
      </w:r>
      <w:r w:rsidR="007D7702">
        <w:rPr>
          <w:rFonts w:ascii="Times New Roman" w:hAnsi="Times New Roman" w:cs="Times New Roman"/>
          <w:sz w:val="24"/>
          <w:szCs w:val="24"/>
        </w:rPr>
        <w:t>[</w:t>
      </w:r>
      <w:r w:rsidR="00145EAA" w:rsidRPr="0043224D">
        <w:rPr>
          <w:rFonts w:ascii="Times New Roman" w:hAnsi="Times New Roman" w:cs="Times New Roman"/>
          <w:sz w:val="24"/>
          <w:szCs w:val="24"/>
        </w:rPr>
        <w:t>le</w:t>
      </w:r>
      <w:r w:rsidR="007D7702">
        <w:rPr>
          <w:rFonts w:ascii="Times New Roman" w:hAnsi="Times New Roman" w:cs="Times New Roman"/>
          <w:sz w:val="24"/>
          <w:szCs w:val="24"/>
        </w:rPr>
        <w:t>a</w:t>
      </w:r>
      <w:r w:rsidR="00145EAA" w:rsidRPr="0043224D">
        <w:rPr>
          <w:rFonts w:ascii="Times New Roman" w:hAnsi="Times New Roman" w:cs="Times New Roman"/>
          <w:sz w:val="24"/>
          <w:szCs w:val="24"/>
        </w:rPr>
        <w:t>d</w:t>
      </w:r>
      <w:r w:rsidR="007D7702">
        <w:rPr>
          <w:rFonts w:ascii="Times New Roman" w:hAnsi="Times New Roman" w:cs="Times New Roman"/>
          <w:sz w:val="24"/>
          <w:szCs w:val="24"/>
        </w:rPr>
        <w:t>s]</w:t>
      </w:r>
      <w:r w:rsidR="00145EAA" w:rsidRPr="0043224D">
        <w:rPr>
          <w:rFonts w:ascii="Times New Roman" w:hAnsi="Times New Roman" w:cs="Times New Roman"/>
          <w:sz w:val="24"/>
          <w:szCs w:val="24"/>
        </w:rPr>
        <w:t xml:space="preserve"> to their displacement and dispossession from their territories.”</w:t>
      </w:r>
      <w:r w:rsidR="00145EAA" w:rsidRPr="0043224D">
        <w:rPr>
          <w:rStyle w:val="FootnoteReference"/>
          <w:rFonts w:ascii="Times New Roman" w:hAnsi="Times New Roman" w:cs="Times New Roman"/>
          <w:sz w:val="24"/>
          <w:szCs w:val="24"/>
        </w:rPr>
        <w:footnoteReference w:id="49"/>
      </w:r>
      <w:r w:rsidR="00145EAA" w:rsidRPr="0043224D">
        <w:rPr>
          <w:rFonts w:ascii="Times New Roman" w:hAnsi="Times New Roman" w:cs="Times New Roman"/>
          <w:sz w:val="24"/>
          <w:szCs w:val="24"/>
        </w:rPr>
        <w:t xml:space="preserve">  </w:t>
      </w:r>
    </w:p>
    <w:p w:rsidR="00C94FEB" w:rsidRPr="0043224D" w:rsidRDefault="00145EAA" w:rsidP="00060EEC">
      <w:pPr>
        <w:spacing w:line="360" w:lineRule="auto"/>
        <w:ind w:firstLine="720"/>
        <w:rPr>
          <w:sz w:val="24"/>
          <w:szCs w:val="24"/>
        </w:rPr>
      </w:pPr>
      <w:r w:rsidRPr="0043224D">
        <w:rPr>
          <w:rFonts w:ascii="Times New Roman" w:hAnsi="Times New Roman" w:cs="Times New Roman"/>
          <w:sz w:val="24"/>
          <w:szCs w:val="24"/>
        </w:rPr>
        <w:t>To</w:t>
      </w:r>
      <w:r w:rsidR="00D264FC" w:rsidRPr="0043224D">
        <w:rPr>
          <w:rFonts w:ascii="Times New Roman" w:hAnsi="Times New Roman" w:cs="Times New Roman"/>
          <w:sz w:val="24"/>
          <w:szCs w:val="24"/>
        </w:rPr>
        <w:t xml:space="preserve"> be dispossessed of a</w:t>
      </w:r>
      <w:r w:rsidR="00723849" w:rsidRPr="0043224D">
        <w:rPr>
          <w:rFonts w:ascii="Times New Roman" w:hAnsi="Times New Roman" w:cs="Times New Roman"/>
          <w:sz w:val="24"/>
          <w:szCs w:val="24"/>
        </w:rPr>
        <w:t xml:space="preserve"> house,</w:t>
      </w:r>
      <w:r w:rsidR="00D264FC" w:rsidRPr="0043224D">
        <w:rPr>
          <w:rFonts w:ascii="Times New Roman" w:hAnsi="Times New Roman" w:cs="Times New Roman"/>
          <w:sz w:val="24"/>
          <w:szCs w:val="24"/>
        </w:rPr>
        <w:t xml:space="preserve"> home, territory, forest, or pasture there must first be an act of displacement. </w:t>
      </w:r>
      <w:r w:rsidR="00EF17C1" w:rsidRPr="0043224D">
        <w:rPr>
          <w:rFonts w:ascii="Times New Roman" w:hAnsi="Times New Roman" w:cs="Times New Roman"/>
          <w:sz w:val="24"/>
          <w:szCs w:val="24"/>
        </w:rPr>
        <w:t xml:space="preserve"> </w:t>
      </w:r>
      <w:r w:rsidR="00895718" w:rsidRPr="0043224D">
        <w:rPr>
          <w:rFonts w:ascii="Times New Roman" w:hAnsi="Times New Roman" w:cs="Times New Roman"/>
          <w:sz w:val="24"/>
          <w:szCs w:val="24"/>
        </w:rPr>
        <w:t>D</w:t>
      </w:r>
      <w:r w:rsidR="00D264FC" w:rsidRPr="0043224D">
        <w:rPr>
          <w:rFonts w:ascii="Times New Roman" w:hAnsi="Times New Roman" w:cs="Times New Roman"/>
          <w:sz w:val="24"/>
          <w:szCs w:val="24"/>
        </w:rPr>
        <w:t xml:space="preserve">ispossession </w:t>
      </w:r>
      <w:r w:rsidR="00780666" w:rsidRPr="0043224D">
        <w:rPr>
          <w:rFonts w:ascii="Times New Roman" w:hAnsi="Times New Roman" w:cs="Times New Roman"/>
          <w:sz w:val="24"/>
          <w:szCs w:val="24"/>
        </w:rPr>
        <w:t>denotes</w:t>
      </w:r>
      <w:r w:rsidR="004D089F" w:rsidRPr="0043224D">
        <w:rPr>
          <w:rFonts w:ascii="Times New Roman" w:hAnsi="Times New Roman" w:cs="Times New Roman"/>
          <w:sz w:val="24"/>
          <w:szCs w:val="24"/>
        </w:rPr>
        <w:t xml:space="preserve"> a</w:t>
      </w:r>
      <w:r w:rsidR="00780666" w:rsidRPr="0043224D">
        <w:rPr>
          <w:rFonts w:ascii="Times New Roman" w:hAnsi="Times New Roman" w:cs="Times New Roman"/>
          <w:sz w:val="24"/>
          <w:szCs w:val="24"/>
        </w:rPr>
        <w:t xml:space="preserve"> loss</w:t>
      </w:r>
      <w:r w:rsidR="004D089F" w:rsidRPr="0043224D">
        <w:rPr>
          <w:rFonts w:ascii="Times New Roman" w:hAnsi="Times New Roman" w:cs="Times New Roman"/>
          <w:sz w:val="24"/>
          <w:szCs w:val="24"/>
        </w:rPr>
        <w:t xml:space="preserve"> of something</w:t>
      </w:r>
      <w:r w:rsidR="004B37D1" w:rsidRPr="0043224D">
        <w:rPr>
          <w:rFonts w:ascii="Times New Roman" w:hAnsi="Times New Roman" w:cs="Times New Roman"/>
          <w:sz w:val="24"/>
          <w:szCs w:val="24"/>
        </w:rPr>
        <w:t xml:space="preserve"> both</w:t>
      </w:r>
      <w:r w:rsidR="004D089F" w:rsidRPr="0043224D">
        <w:rPr>
          <w:rFonts w:ascii="Times New Roman" w:hAnsi="Times New Roman" w:cs="Times New Roman"/>
          <w:sz w:val="24"/>
          <w:szCs w:val="24"/>
        </w:rPr>
        <w:t xml:space="preserve"> tangible</w:t>
      </w:r>
      <w:r w:rsidR="004B37D1" w:rsidRPr="0043224D">
        <w:rPr>
          <w:rFonts w:ascii="Times New Roman" w:hAnsi="Times New Roman" w:cs="Times New Roman"/>
          <w:sz w:val="24"/>
          <w:szCs w:val="24"/>
        </w:rPr>
        <w:t xml:space="preserve"> and intangible</w:t>
      </w:r>
      <w:r w:rsidR="00780666" w:rsidRPr="0043224D">
        <w:rPr>
          <w:rFonts w:ascii="Times New Roman" w:hAnsi="Times New Roman" w:cs="Times New Roman"/>
          <w:sz w:val="24"/>
          <w:szCs w:val="24"/>
        </w:rPr>
        <w:t>, and in the context of this study, the</w:t>
      </w:r>
      <w:r w:rsidR="00780666" w:rsidRPr="0043224D">
        <w:rPr>
          <w:rFonts w:ascii="Times New Roman" w:hAnsi="Times New Roman" w:cs="Times New Roman"/>
          <w:i/>
          <w:sz w:val="24"/>
          <w:szCs w:val="24"/>
        </w:rPr>
        <w:t xml:space="preserve"> </w:t>
      </w:r>
      <w:r w:rsidR="00780666" w:rsidRPr="0043224D">
        <w:rPr>
          <w:rFonts w:ascii="Times New Roman" w:hAnsi="Times New Roman" w:cs="Times New Roman"/>
          <w:sz w:val="24"/>
          <w:szCs w:val="24"/>
        </w:rPr>
        <w:t>term “dispossession” as it relates to indigenous peoples indicates a</w:t>
      </w:r>
      <w:r w:rsidR="00EE2A45" w:rsidRPr="0043224D">
        <w:rPr>
          <w:rFonts w:ascii="Times New Roman" w:hAnsi="Times New Roman" w:cs="Times New Roman"/>
          <w:sz w:val="24"/>
          <w:szCs w:val="24"/>
        </w:rPr>
        <w:t>n</w:t>
      </w:r>
      <w:r w:rsidR="00780666" w:rsidRPr="0043224D">
        <w:rPr>
          <w:rFonts w:ascii="Times New Roman" w:hAnsi="Times New Roman" w:cs="Times New Roman"/>
          <w:sz w:val="24"/>
          <w:szCs w:val="24"/>
        </w:rPr>
        <w:t xml:space="preserve"> </w:t>
      </w:r>
      <w:r w:rsidR="00EE2A45" w:rsidRPr="0043224D">
        <w:rPr>
          <w:rFonts w:ascii="Times New Roman" w:hAnsi="Times New Roman" w:cs="Times New Roman"/>
          <w:sz w:val="24"/>
          <w:szCs w:val="24"/>
        </w:rPr>
        <w:t xml:space="preserve">expansive </w:t>
      </w:r>
      <w:r w:rsidR="00780666" w:rsidRPr="0043224D">
        <w:rPr>
          <w:rFonts w:ascii="Times New Roman" w:hAnsi="Times New Roman" w:cs="Times New Roman"/>
          <w:sz w:val="24"/>
          <w:szCs w:val="24"/>
        </w:rPr>
        <w:t xml:space="preserve">category of cultural, social, </w:t>
      </w:r>
      <w:r w:rsidR="00D264FC" w:rsidRPr="0043224D">
        <w:rPr>
          <w:rFonts w:ascii="Times New Roman" w:hAnsi="Times New Roman" w:cs="Times New Roman"/>
          <w:sz w:val="24"/>
          <w:szCs w:val="24"/>
        </w:rPr>
        <w:t xml:space="preserve">and </w:t>
      </w:r>
      <w:r w:rsidR="00780666" w:rsidRPr="0043224D">
        <w:rPr>
          <w:rFonts w:ascii="Times New Roman" w:hAnsi="Times New Roman" w:cs="Times New Roman"/>
          <w:sz w:val="24"/>
          <w:szCs w:val="24"/>
        </w:rPr>
        <w:t>spiritual</w:t>
      </w:r>
      <w:r w:rsidR="00EF17C1" w:rsidRPr="0043224D">
        <w:rPr>
          <w:rFonts w:ascii="Times New Roman" w:hAnsi="Times New Roman" w:cs="Times New Roman"/>
          <w:sz w:val="24"/>
          <w:szCs w:val="24"/>
        </w:rPr>
        <w:t xml:space="preserve"> loss.</w:t>
      </w:r>
      <w:r w:rsidR="00780666" w:rsidRPr="0043224D">
        <w:rPr>
          <w:rFonts w:ascii="Times New Roman" w:hAnsi="Times New Roman" w:cs="Times New Roman"/>
          <w:sz w:val="24"/>
          <w:szCs w:val="24"/>
        </w:rPr>
        <w:t xml:space="preserve"> </w:t>
      </w:r>
      <w:r w:rsidR="00FD5A3F" w:rsidRPr="0043224D">
        <w:rPr>
          <w:rFonts w:ascii="Times New Roman" w:hAnsi="Times New Roman" w:cs="Times New Roman"/>
          <w:sz w:val="24"/>
          <w:szCs w:val="24"/>
        </w:rPr>
        <w:t>Above all categories of loss however, as</w:t>
      </w:r>
      <w:r w:rsidR="00D264FC" w:rsidRPr="0043224D">
        <w:rPr>
          <w:rFonts w:ascii="Times New Roman" w:hAnsi="Times New Roman" w:cs="Times New Roman"/>
          <w:sz w:val="24"/>
          <w:szCs w:val="24"/>
        </w:rPr>
        <w:t xml:space="preserve"> the</w:t>
      </w:r>
      <w:r w:rsidR="00FD5A3F" w:rsidRPr="0043224D">
        <w:rPr>
          <w:rFonts w:ascii="Times New Roman" w:hAnsi="Times New Roman" w:cs="Times New Roman"/>
          <w:sz w:val="24"/>
          <w:szCs w:val="24"/>
        </w:rPr>
        <w:t xml:space="preserve"> loss of first instance</w:t>
      </w:r>
      <w:r w:rsidR="00D264FC" w:rsidRPr="0043224D">
        <w:rPr>
          <w:rFonts w:ascii="Times New Roman" w:hAnsi="Times New Roman" w:cs="Times New Roman"/>
          <w:sz w:val="24"/>
          <w:szCs w:val="24"/>
        </w:rPr>
        <w:t xml:space="preserve"> or principal cause of all the other losses</w:t>
      </w:r>
      <w:r w:rsidR="00FD5A3F" w:rsidRPr="0043224D">
        <w:rPr>
          <w:rFonts w:ascii="Times New Roman" w:hAnsi="Times New Roman" w:cs="Times New Roman"/>
          <w:sz w:val="24"/>
          <w:szCs w:val="24"/>
        </w:rPr>
        <w:t>, stands the physical dispossession of land and territories.</w:t>
      </w:r>
      <w:r w:rsidR="00D264FC" w:rsidRPr="0043224D">
        <w:rPr>
          <w:rFonts w:ascii="Times New Roman" w:hAnsi="Times New Roman" w:cs="Times New Roman"/>
          <w:sz w:val="24"/>
          <w:szCs w:val="24"/>
        </w:rPr>
        <w:t xml:space="preserve"> </w:t>
      </w:r>
      <w:r w:rsidR="004A6477" w:rsidRPr="0043224D">
        <w:rPr>
          <w:rFonts w:ascii="Times New Roman" w:hAnsi="Times New Roman" w:cs="Times New Roman"/>
          <w:sz w:val="24"/>
          <w:szCs w:val="24"/>
        </w:rPr>
        <w:t>The</w:t>
      </w:r>
      <w:r w:rsidR="00615034" w:rsidRPr="0043224D">
        <w:rPr>
          <w:rFonts w:ascii="Times New Roman" w:hAnsi="Times New Roman" w:cs="Times New Roman"/>
          <w:sz w:val="24"/>
          <w:szCs w:val="24"/>
        </w:rPr>
        <w:t xml:space="preserve"> crucial importance of this salient </w:t>
      </w:r>
      <w:r w:rsidR="00126208" w:rsidRPr="0043224D">
        <w:rPr>
          <w:rFonts w:ascii="Times New Roman" w:hAnsi="Times New Roman" w:cs="Times New Roman"/>
          <w:sz w:val="24"/>
          <w:szCs w:val="24"/>
        </w:rPr>
        <w:t>theme in the</w:t>
      </w:r>
      <w:r w:rsidR="00C94FEB" w:rsidRPr="0043224D">
        <w:rPr>
          <w:rFonts w:ascii="Times New Roman" w:hAnsi="Times New Roman" w:cs="Times New Roman"/>
          <w:sz w:val="24"/>
          <w:szCs w:val="24"/>
        </w:rPr>
        <w:t xml:space="preserve"> international</w:t>
      </w:r>
      <w:r w:rsidR="00126208" w:rsidRPr="0043224D">
        <w:rPr>
          <w:rFonts w:ascii="Times New Roman" w:hAnsi="Times New Roman" w:cs="Times New Roman"/>
          <w:sz w:val="24"/>
          <w:szCs w:val="24"/>
        </w:rPr>
        <w:t xml:space="preserve"> indigenous rights framework is recognised in the</w:t>
      </w:r>
      <w:r w:rsidR="00C94FEB" w:rsidRPr="0043224D">
        <w:rPr>
          <w:rFonts w:ascii="Times New Roman" w:hAnsi="Times New Roman" w:cs="Times New Roman"/>
          <w:sz w:val="24"/>
          <w:szCs w:val="24"/>
        </w:rPr>
        <w:t xml:space="preserve"> sixth paragraph of the</w:t>
      </w:r>
      <w:r w:rsidR="00126208" w:rsidRPr="0043224D">
        <w:rPr>
          <w:rFonts w:ascii="Times New Roman" w:hAnsi="Times New Roman" w:cs="Times New Roman"/>
          <w:sz w:val="24"/>
          <w:szCs w:val="24"/>
        </w:rPr>
        <w:t xml:space="preserve"> preamble of the UNDRIP</w:t>
      </w:r>
      <w:r w:rsidR="00C94FEB" w:rsidRPr="0043224D">
        <w:rPr>
          <w:rFonts w:ascii="Times New Roman" w:hAnsi="Times New Roman" w:cs="Times New Roman"/>
          <w:sz w:val="24"/>
          <w:szCs w:val="24"/>
        </w:rPr>
        <w:t>, stating:</w:t>
      </w:r>
      <w:r w:rsidR="00C94FEB" w:rsidRPr="0043224D">
        <w:rPr>
          <w:sz w:val="24"/>
          <w:szCs w:val="24"/>
        </w:rPr>
        <w:t xml:space="preserve"> </w:t>
      </w:r>
    </w:p>
    <w:p w:rsidR="00615034" w:rsidRPr="0043224D" w:rsidRDefault="00C94FEB" w:rsidP="0043224D">
      <w:pPr>
        <w:spacing w:line="360" w:lineRule="auto"/>
        <w:ind w:left="720"/>
        <w:rPr>
          <w:rFonts w:ascii="Times New Roman" w:hAnsi="Times New Roman" w:cs="Times New Roman"/>
          <w:sz w:val="24"/>
          <w:szCs w:val="24"/>
        </w:rPr>
      </w:pPr>
      <w:r w:rsidRPr="0043224D">
        <w:rPr>
          <w:rFonts w:ascii="Times New Roman" w:hAnsi="Times New Roman" w:cs="Times New Roman"/>
          <w:i/>
          <w:sz w:val="24"/>
          <w:szCs w:val="24"/>
        </w:rPr>
        <w:t>Concerned that indigenous peoples have suffered from historic injustices as a result of, inter alia, their colonization and dispossession of their lands, territories and resources, thus preventing them from exercising, in particular, their right to development in accordance with their own needs and interests</w:t>
      </w:r>
      <w:r w:rsidRPr="0043224D">
        <w:rPr>
          <w:rFonts w:ascii="Times New Roman" w:hAnsi="Times New Roman" w:cs="Times New Roman"/>
          <w:sz w:val="24"/>
          <w:szCs w:val="24"/>
        </w:rPr>
        <w:t>.</w:t>
      </w:r>
      <w:r w:rsidRPr="0043224D">
        <w:rPr>
          <w:rStyle w:val="FootnoteReference"/>
          <w:rFonts w:ascii="Times New Roman" w:hAnsi="Times New Roman" w:cs="Times New Roman"/>
          <w:sz w:val="24"/>
          <w:szCs w:val="24"/>
        </w:rPr>
        <w:footnoteReference w:id="50"/>
      </w:r>
      <w:r w:rsidR="00126208" w:rsidRPr="0043224D">
        <w:rPr>
          <w:rFonts w:ascii="Times New Roman" w:hAnsi="Times New Roman" w:cs="Times New Roman"/>
          <w:sz w:val="24"/>
          <w:szCs w:val="24"/>
        </w:rPr>
        <w:t xml:space="preserve"> </w:t>
      </w:r>
    </w:p>
    <w:p w:rsidR="00EE2A45" w:rsidRPr="0043224D" w:rsidRDefault="004A6477"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In light of this</w:t>
      </w:r>
      <w:r w:rsidR="00B16071">
        <w:rPr>
          <w:rFonts w:ascii="Times New Roman" w:hAnsi="Times New Roman" w:cs="Times New Roman"/>
          <w:sz w:val="24"/>
          <w:szCs w:val="24"/>
        </w:rPr>
        <w:t xml:space="preserve"> by now</w:t>
      </w:r>
      <w:r w:rsidR="00251304" w:rsidRPr="0043224D">
        <w:rPr>
          <w:rFonts w:ascii="Times New Roman" w:hAnsi="Times New Roman" w:cs="Times New Roman"/>
          <w:sz w:val="24"/>
          <w:szCs w:val="24"/>
        </w:rPr>
        <w:t xml:space="preserve"> largely uncontested</w:t>
      </w:r>
      <w:r w:rsidRPr="0043224D">
        <w:rPr>
          <w:rFonts w:ascii="Times New Roman" w:hAnsi="Times New Roman" w:cs="Times New Roman"/>
          <w:sz w:val="24"/>
          <w:szCs w:val="24"/>
        </w:rPr>
        <w:t xml:space="preserve"> historical truth, it</w:t>
      </w:r>
      <w:r w:rsidR="00C94FEB" w:rsidRPr="0043224D">
        <w:rPr>
          <w:rFonts w:ascii="Times New Roman" w:hAnsi="Times New Roman" w:cs="Times New Roman"/>
          <w:sz w:val="24"/>
          <w:szCs w:val="24"/>
        </w:rPr>
        <w:t xml:space="preserve"> is also important to draw a connection between the</w:t>
      </w:r>
      <w:r w:rsidR="00D264FC" w:rsidRPr="0043224D">
        <w:rPr>
          <w:rFonts w:ascii="Times New Roman" w:hAnsi="Times New Roman" w:cs="Times New Roman"/>
          <w:sz w:val="24"/>
          <w:szCs w:val="24"/>
        </w:rPr>
        <w:t xml:space="preserve"> cultural identity of indigenous peoples</w:t>
      </w:r>
      <w:r w:rsidR="00C94FEB" w:rsidRPr="0043224D">
        <w:rPr>
          <w:rFonts w:ascii="Times New Roman" w:hAnsi="Times New Roman" w:cs="Times New Roman"/>
          <w:sz w:val="24"/>
          <w:szCs w:val="24"/>
        </w:rPr>
        <w:t xml:space="preserve"> and how </w:t>
      </w:r>
      <w:r w:rsidR="00E10E65" w:rsidRPr="0043224D">
        <w:rPr>
          <w:rFonts w:ascii="Times New Roman" w:hAnsi="Times New Roman" w:cs="Times New Roman"/>
          <w:sz w:val="24"/>
          <w:szCs w:val="24"/>
        </w:rPr>
        <w:t>that sense of identity is</w:t>
      </w:r>
      <w:r w:rsidR="00D264FC" w:rsidRPr="0043224D">
        <w:rPr>
          <w:rFonts w:ascii="Times New Roman" w:hAnsi="Times New Roman" w:cs="Times New Roman"/>
          <w:sz w:val="24"/>
          <w:szCs w:val="24"/>
        </w:rPr>
        <w:t xml:space="preserve"> closely linked to the idea of a particular </w:t>
      </w:r>
      <w:r w:rsidR="00017C43" w:rsidRPr="0043224D">
        <w:rPr>
          <w:rFonts w:ascii="Times New Roman" w:hAnsi="Times New Roman" w:cs="Times New Roman"/>
          <w:sz w:val="24"/>
          <w:szCs w:val="24"/>
        </w:rPr>
        <w:t xml:space="preserve">fixed </w:t>
      </w:r>
      <w:r w:rsidR="00D264FC" w:rsidRPr="0043224D">
        <w:rPr>
          <w:rFonts w:ascii="Times New Roman" w:hAnsi="Times New Roman" w:cs="Times New Roman"/>
          <w:sz w:val="24"/>
          <w:szCs w:val="24"/>
        </w:rPr>
        <w:t>physical space: an ancestral homeland</w:t>
      </w:r>
      <w:r w:rsidR="00281A04" w:rsidRPr="0043224D">
        <w:rPr>
          <w:rFonts w:ascii="Times New Roman" w:hAnsi="Times New Roman" w:cs="Times New Roman"/>
          <w:sz w:val="24"/>
          <w:szCs w:val="24"/>
        </w:rPr>
        <w:t xml:space="preserve"> to which an indigenous population</w:t>
      </w:r>
      <w:r w:rsidR="00D264FC" w:rsidRPr="0043224D">
        <w:rPr>
          <w:rFonts w:ascii="Times New Roman" w:hAnsi="Times New Roman" w:cs="Times New Roman"/>
          <w:sz w:val="24"/>
          <w:szCs w:val="24"/>
        </w:rPr>
        <w:t xml:space="preserve"> </w:t>
      </w:r>
      <w:r w:rsidR="00281A04" w:rsidRPr="0043224D">
        <w:rPr>
          <w:rFonts w:ascii="Times New Roman" w:hAnsi="Times New Roman" w:cs="Times New Roman"/>
          <w:sz w:val="24"/>
          <w:szCs w:val="24"/>
        </w:rPr>
        <w:t>has</w:t>
      </w:r>
      <w:r w:rsidR="00D264FC" w:rsidRPr="0043224D">
        <w:rPr>
          <w:rFonts w:ascii="Times New Roman" w:hAnsi="Times New Roman" w:cs="Times New Roman"/>
          <w:sz w:val="24"/>
          <w:szCs w:val="24"/>
        </w:rPr>
        <w:t xml:space="preserve"> specific</w:t>
      </w:r>
      <w:r w:rsidR="00281A04" w:rsidRPr="0043224D">
        <w:rPr>
          <w:rFonts w:ascii="Times New Roman" w:hAnsi="Times New Roman" w:cs="Times New Roman"/>
          <w:sz w:val="24"/>
          <w:szCs w:val="24"/>
        </w:rPr>
        <w:t xml:space="preserve"> cultural</w:t>
      </w:r>
      <w:r w:rsidR="00D264FC" w:rsidRPr="0043224D">
        <w:rPr>
          <w:rFonts w:ascii="Times New Roman" w:hAnsi="Times New Roman" w:cs="Times New Roman"/>
          <w:sz w:val="24"/>
          <w:szCs w:val="24"/>
        </w:rPr>
        <w:t xml:space="preserve"> </w:t>
      </w:r>
      <w:r w:rsidR="00281A04" w:rsidRPr="0043224D">
        <w:rPr>
          <w:rFonts w:ascii="Times New Roman" w:hAnsi="Times New Roman" w:cs="Times New Roman"/>
          <w:sz w:val="24"/>
          <w:szCs w:val="24"/>
        </w:rPr>
        <w:t>links.</w:t>
      </w:r>
      <w:r w:rsidRPr="0043224D">
        <w:rPr>
          <w:rFonts w:ascii="Times New Roman" w:hAnsi="Times New Roman" w:cs="Times New Roman"/>
          <w:sz w:val="24"/>
          <w:szCs w:val="24"/>
        </w:rPr>
        <w:t xml:space="preserve"> In this regard, indigenous dispossession takes on a powerful and unique meaning, with powerful and unique consequences when development-induced displacement takes place.   </w:t>
      </w:r>
      <w:r w:rsidR="00D264FC" w:rsidRPr="0043224D">
        <w:rPr>
          <w:rFonts w:ascii="Times New Roman" w:hAnsi="Times New Roman" w:cs="Times New Roman"/>
          <w:sz w:val="24"/>
          <w:szCs w:val="24"/>
        </w:rPr>
        <w:t xml:space="preserve"> </w:t>
      </w:r>
      <w:r w:rsidR="00FD5A3F" w:rsidRPr="0043224D">
        <w:rPr>
          <w:rFonts w:ascii="Times New Roman" w:hAnsi="Times New Roman" w:cs="Times New Roman"/>
          <w:sz w:val="24"/>
          <w:szCs w:val="24"/>
        </w:rPr>
        <w:t xml:space="preserve"> </w:t>
      </w:r>
    </w:p>
    <w:p w:rsidR="00D575CF" w:rsidRPr="0043224D" w:rsidRDefault="00281A04"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Moreover, the</w:t>
      </w:r>
      <w:r w:rsidR="005726FC" w:rsidRPr="0043224D">
        <w:rPr>
          <w:rFonts w:ascii="Times New Roman" w:hAnsi="Times New Roman" w:cs="Times New Roman"/>
          <w:sz w:val="24"/>
          <w:szCs w:val="24"/>
        </w:rPr>
        <w:t xml:space="preserve"> term dispossession</w:t>
      </w:r>
      <w:r w:rsidRPr="0043224D">
        <w:rPr>
          <w:rFonts w:ascii="Times New Roman" w:hAnsi="Times New Roman" w:cs="Times New Roman"/>
          <w:sz w:val="24"/>
          <w:szCs w:val="24"/>
        </w:rPr>
        <w:t xml:space="preserve"> as it is understood above</w:t>
      </w:r>
      <w:r w:rsidR="004A1FFF" w:rsidRPr="0043224D">
        <w:rPr>
          <w:rFonts w:ascii="Times New Roman" w:hAnsi="Times New Roman" w:cs="Times New Roman"/>
          <w:sz w:val="24"/>
          <w:szCs w:val="24"/>
        </w:rPr>
        <w:t xml:space="preserve"> is of</w:t>
      </w:r>
      <w:r w:rsidR="005726FC" w:rsidRPr="0043224D">
        <w:rPr>
          <w:rFonts w:ascii="Times New Roman" w:hAnsi="Times New Roman" w:cs="Times New Roman"/>
          <w:sz w:val="24"/>
          <w:szCs w:val="24"/>
        </w:rPr>
        <w:t xml:space="preserve"> both historical import and contemporary significance</w:t>
      </w:r>
      <w:r w:rsidR="004A1FFF" w:rsidRPr="0043224D">
        <w:rPr>
          <w:rFonts w:ascii="Times New Roman" w:hAnsi="Times New Roman" w:cs="Times New Roman"/>
          <w:sz w:val="24"/>
          <w:szCs w:val="24"/>
        </w:rPr>
        <w:t>,</w:t>
      </w:r>
      <w:r w:rsidR="005726FC" w:rsidRPr="0043224D">
        <w:rPr>
          <w:rFonts w:ascii="Times New Roman" w:hAnsi="Times New Roman" w:cs="Times New Roman"/>
          <w:sz w:val="24"/>
          <w:szCs w:val="24"/>
        </w:rPr>
        <w:t xml:space="preserve"> in that indigenous </w:t>
      </w:r>
      <w:r w:rsidRPr="0043224D">
        <w:rPr>
          <w:rFonts w:ascii="Times New Roman" w:hAnsi="Times New Roman" w:cs="Times New Roman"/>
          <w:sz w:val="24"/>
          <w:szCs w:val="24"/>
        </w:rPr>
        <w:t>people’s</w:t>
      </w:r>
      <w:r w:rsidR="005726FC" w:rsidRPr="0043224D">
        <w:rPr>
          <w:rFonts w:ascii="Times New Roman" w:hAnsi="Times New Roman" w:cs="Times New Roman"/>
          <w:sz w:val="24"/>
          <w:szCs w:val="24"/>
        </w:rPr>
        <w:t xml:space="preserve"> connection and relationship to land and territories is inextricably bound with their sense of themselves as culturally distinct from the dominant majority where most of them live. When that link</w:t>
      </w:r>
      <w:r w:rsidR="00B63205" w:rsidRPr="0043224D">
        <w:rPr>
          <w:rFonts w:ascii="Times New Roman" w:hAnsi="Times New Roman" w:cs="Times New Roman"/>
          <w:sz w:val="24"/>
          <w:szCs w:val="24"/>
        </w:rPr>
        <w:t xml:space="preserve"> to land</w:t>
      </w:r>
      <w:r w:rsidR="005726FC" w:rsidRPr="0043224D">
        <w:rPr>
          <w:rFonts w:ascii="Times New Roman" w:hAnsi="Times New Roman" w:cs="Times New Roman"/>
          <w:sz w:val="24"/>
          <w:szCs w:val="24"/>
        </w:rPr>
        <w:t xml:space="preserve"> is broken, either historically through imperialist conquest</w:t>
      </w:r>
      <w:r w:rsidR="00B244CF" w:rsidRPr="0043224D">
        <w:rPr>
          <w:rFonts w:ascii="Times New Roman" w:hAnsi="Times New Roman" w:cs="Times New Roman"/>
          <w:sz w:val="24"/>
          <w:szCs w:val="24"/>
        </w:rPr>
        <w:t>, or</w:t>
      </w:r>
      <w:r w:rsidR="005726FC" w:rsidRPr="0043224D">
        <w:rPr>
          <w:rFonts w:ascii="Times New Roman" w:hAnsi="Times New Roman" w:cs="Times New Roman"/>
          <w:sz w:val="24"/>
          <w:szCs w:val="24"/>
        </w:rPr>
        <w:t xml:space="preserve"> colonial</w:t>
      </w:r>
      <w:r w:rsidR="00023B20" w:rsidRPr="0043224D">
        <w:rPr>
          <w:rFonts w:ascii="Times New Roman" w:hAnsi="Times New Roman" w:cs="Times New Roman"/>
          <w:sz w:val="24"/>
          <w:szCs w:val="24"/>
        </w:rPr>
        <w:t xml:space="preserve"> and neo-colonial</w:t>
      </w:r>
      <w:r w:rsidR="005726FC" w:rsidRPr="0043224D">
        <w:rPr>
          <w:rFonts w:ascii="Times New Roman" w:hAnsi="Times New Roman" w:cs="Times New Roman"/>
          <w:sz w:val="24"/>
          <w:szCs w:val="24"/>
        </w:rPr>
        <w:t xml:space="preserve"> consolidation of that conquest</w:t>
      </w:r>
      <w:r w:rsidR="00775BB2" w:rsidRPr="0043224D">
        <w:rPr>
          <w:rFonts w:ascii="Times New Roman" w:hAnsi="Times New Roman" w:cs="Times New Roman"/>
          <w:sz w:val="24"/>
          <w:szCs w:val="24"/>
        </w:rPr>
        <w:t>,</w:t>
      </w:r>
      <w:r w:rsidR="005726FC" w:rsidRPr="0043224D">
        <w:rPr>
          <w:rFonts w:ascii="Times New Roman" w:hAnsi="Times New Roman" w:cs="Times New Roman"/>
          <w:sz w:val="24"/>
          <w:szCs w:val="24"/>
        </w:rPr>
        <w:t xml:space="preserve"> the effects and consequences have more often than not been severely harmful for indigenous </w:t>
      </w:r>
      <w:r w:rsidRPr="0043224D">
        <w:rPr>
          <w:rFonts w:ascii="Times New Roman" w:hAnsi="Times New Roman" w:cs="Times New Roman"/>
          <w:sz w:val="24"/>
          <w:szCs w:val="24"/>
        </w:rPr>
        <w:t>people’s</w:t>
      </w:r>
      <w:r w:rsidR="005726FC" w:rsidRPr="0043224D">
        <w:rPr>
          <w:rFonts w:ascii="Times New Roman" w:hAnsi="Times New Roman" w:cs="Times New Roman"/>
          <w:sz w:val="24"/>
          <w:szCs w:val="24"/>
        </w:rPr>
        <w:t xml:space="preserve"> sense of social and cultural identity.</w:t>
      </w:r>
      <w:r w:rsidR="00D575CF" w:rsidRPr="0043224D">
        <w:rPr>
          <w:rStyle w:val="FootnoteReference"/>
          <w:rFonts w:ascii="Times New Roman" w:hAnsi="Times New Roman" w:cs="Times New Roman"/>
          <w:sz w:val="24"/>
          <w:szCs w:val="24"/>
        </w:rPr>
        <w:footnoteReference w:id="51"/>
      </w:r>
      <w:r w:rsidR="005726FC" w:rsidRPr="0043224D">
        <w:rPr>
          <w:rFonts w:ascii="Times New Roman" w:hAnsi="Times New Roman" w:cs="Times New Roman"/>
          <w:sz w:val="24"/>
          <w:szCs w:val="24"/>
        </w:rPr>
        <w:t xml:space="preserve"> </w:t>
      </w:r>
    </w:p>
    <w:p w:rsidR="00A53F46" w:rsidRPr="0043224D" w:rsidRDefault="00D575CF"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 term</w:t>
      </w:r>
      <w:r w:rsidR="00EE2A45" w:rsidRPr="0043224D">
        <w:rPr>
          <w:rFonts w:ascii="Times New Roman" w:hAnsi="Times New Roman" w:cs="Times New Roman"/>
          <w:sz w:val="24"/>
          <w:szCs w:val="24"/>
        </w:rPr>
        <w:t xml:space="preserve"> Indigenous Nomadic </w:t>
      </w:r>
      <w:r w:rsidR="00E77DF9" w:rsidRPr="0043224D">
        <w:rPr>
          <w:rFonts w:ascii="Times New Roman" w:hAnsi="Times New Roman" w:cs="Times New Roman"/>
          <w:sz w:val="24"/>
          <w:szCs w:val="24"/>
        </w:rPr>
        <w:t>P</w:t>
      </w:r>
      <w:r w:rsidR="00EE2A45" w:rsidRPr="0043224D">
        <w:rPr>
          <w:rFonts w:ascii="Times New Roman" w:hAnsi="Times New Roman" w:cs="Times New Roman"/>
          <w:sz w:val="24"/>
          <w:szCs w:val="24"/>
        </w:rPr>
        <w:t>eoples (</w:t>
      </w:r>
      <w:r w:rsidR="00E77DF9" w:rsidRPr="0043224D">
        <w:rPr>
          <w:rFonts w:ascii="Times New Roman" w:hAnsi="Times New Roman" w:cs="Times New Roman"/>
          <w:sz w:val="24"/>
          <w:szCs w:val="24"/>
        </w:rPr>
        <w:t>here</w:t>
      </w:r>
      <w:r w:rsidR="00281A04" w:rsidRPr="0043224D">
        <w:rPr>
          <w:rFonts w:ascii="Times New Roman" w:hAnsi="Times New Roman" w:cs="Times New Roman"/>
          <w:sz w:val="24"/>
          <w:szCs w:val="24"/>
        </w:rPr>
        <w:t xml:space="preserve">after </w:t>
      </w:r>
      <w:r w:rsidR="00EE2A45" w:rsidRPr="00471442">
        <w:rPr>
          <w:rFonts w:ascii="Times New Roman" w:hAnsi="Times New Roman" w:cs="Times New Roman"/>
          <w:sz w:val="24"/>
          <w:szCs w:val="24"/>
        </w:rPr>
        <w:t>INPs</w:t>
      </w:r>
      <w:r w:rsidR="00FE28B7">
        <w:rPr>
          <w:rFonts w:ascii="Times New Roman" w:hAnsi="Times New Roman" w:cs="Times New Roman"/>
          <w:sz w:val="24"/>
          <w:szCs w:val="24"/>
        </w:rPr>
        <w:t>,</w:t>
      </w:r>
      <w:r w:rsidRPr="0043224D">
        <w:rPr>
          <w:rFonts w:ascii="Times New Roman" w:hAnsi="Times New Roman" w:cs="Times New Roman"/>
          <w:sz w:val="24"/>
          <w:szCs w:val="24"/>
        </w:rPr>
        <w:t xml:space="preserve"> which is the authors own</w:t>
      </w:r>
      <w:r w:rsidR="00FE28B7">
        <w:rPr>
          <w:rFonts w:ascii="Times New Roman" w:hAnsi="Times New Roman" w:cs="Times New Roman"/>
          <w:sz w:val="24"/>
          <w:szCs w:val="24"/>
        </w:rPr>
        <w:t>)</w:t>
      </w:r>
      <w:r w:rsidRPr="0043224D">
        <w:rPr>
          <w:rFonts w:ascii="Times New Roman" w:hAnsi="Times New Roman" w:cs="Times New Roman"/>
          <w:sz w:val="24"/>
          <w:szCs w:val="24"/>
        </w:rPr>
        <w:t>, encompasses any self-identified group or a group identified by the state as traditional mobile peoples: pastoralists, semi-pastoralists, hunter-gatherers, nomads, or semi-nomadic peoples. They are a distinct sub-category of indigenous peoples in that their primary mode of production is based</w:t>
      </w:r>
      <w:r w:rsidR="00023B20" w:rsidRPr="0043224D">
        <w:rPr>
          <w:rFonts w:ascii="Times New Roman" w:hAnsi="Times New Roman" w:cs="Times New Roman"/>
          <w:sz w:val="24"/>
          <w:szCs w:val="24"/>
        </w:rPr>
        <w:t xml:space="preserve"> </w:t>
      </w:r>
      <w:r w:rsidRPr="0043224D">
        <w:rPr>
          <w:rFonts w:ascii="Times New Roman" w:hAnsi="Times New Roman" w:cs="Times New Roman"/>
          <w:sz w:val="24"/>
          <w:szCs w:val="24"/>
        </w:rPr>
        <w:t>on a mobile lifestyle. As a resul</w:t>
      </w:r>
      <w:r w:rsidR="00484053" w:rsidRPr="0043224D">
        <w:rPr>
          <w:rFonts w:ascii="Times New Roman" w:hAnsi="Times New Roman" w:cs="Times New Roman"/>
          <w:sz w:val="24"/>
          <w:szCs w:val="24"/>
        </w:rPr>
        <w:t>t of t</w:t>
      </w:r>
      <w:r w:rsidR="005A12C3" w:rsidRPr="0043224D">
        <w:rPr>
          <w:rFonts w:ascii="Times New Roman" w:hAnsi="Times New Roman" w:cs="Times New Roman"/>
          <w:sz w:val="24"/>
          <w:szCs w:val="24"/>
        </w:rPr>
        <w:t xml:space="preserve">his mobile lifestyle, </w:t>
      </w:r>
      <w:r w:rsidR="007431F4" w:rsidRPr="0043224D">
        <w:rPr>
          <w:rFonts w:ascii="Times New Roman" w:hAnsi="Times New Roman" w:cs="Times New Roman"/>
          <w:sz w:val="24"/>
          <w:szCs w:val="24"/>
        </w:rPr>
        <w:t xml:space="preserve">global </w:t>
      </w:r>
      <w:r w:rsidR="005A12C3" w:rsidRPr="0043224D">
        <w:rPr>
          <w:rFonts w:ascii="Times New Roman" w:hAnsi="Times New Roman" w:cs="Times New Roman"/>
          <w:sz w:val="24"/>
          <w:szCs w:val="24"/>
        </w:rPr>
        <w:t>INPs</w:t>
      </w:r>
      <w:r w:rsidRPr="0043224D">
        <w:rPr>
          <w:rFonts w:ascii="Times New Roman" w:hAnsi="Times New Roman" w:cs="Times New Roman"/>
          <w:sz w:val="24"/>
          <w:szCs w:val="24"/>
        </w:rPr>
        <w:t xml:space="preserve"> have developed cultural norms and movement-based agricultural practices over thousands of years which makes them distinct them from</w:t>
      </w:r>
      <w:r w:rsidR="00281A04" w:rsidRPr="0043224D">
        <w:rPr>
          <w:rFonts w:ascii="Times New Roman" w:hAnsi="Times New Roman" w:cs="Times New Roman"/>
          <w:sz w:val="24"/>
          <w:szCs w:val="24"/>
        </w:rPr>
        <w:t xml:space="preserve"> other</w:t>
      </w:r>
      <w:r w:rsidRPr="0043224D">
        <w:rPr>
          <w:rFonts w:ascii="Times New Roman" w:hAnsi="Times New Roman" w:cs="Times New Roman"/>
          <w:sz w:val="24"/>
          <w:szCs w:val="24"/>
        </w:rPr>
        <w:t xml:space="preserve"> sedentary populations.</w:t>
      </w:r>
      <w:r w:rsidR="00E77DF9" w:rsidRPr="0043224D">
        <w:rPr>
          <w:rStyle w:val="FootnoteReference"/>
          <w:rFonts w:ascii="Times New Roman" w:hAnsi="Times New Roman" w:cs="Times New Roman"/>
          <w:sz w:val="24"/>
          <w:szCs w:val="24"/>
        </w:rPr>
        <w:footnoteReference w:id="52"/>
      </w:r>
      <w:r w:rsidRPr="0043224D">
        <w:rPr>
          <w:rFonts w:ascii="Times New Roman" w:hAnsi="Times New Roman" w:cs="Times New Roman"/>
          <w:sz w:val="24"/>
          <w:szCs w:val="24"/>
        </w:rPr>
        <w:t xml:space="preserve"> Primarily because of their mobility</w:t>
      </w:r>
      <w:r w:rsidR="008655C7" w:rsidRPr="0043224D">
        <w:rPr>
          <w:rFonts w:ascii="Times New Roman" w:hAnsi="Times New Roman" w:cs="Times New Roman"/>
          <w:sz w:val="24"/>
          <w:szCs w:val="24"/>
        </w:rPr>
        <w:t>,</w:t>
      </w:r>
      <w:r w:rsidRPr="0043224D">
        <w:rPr>
          <w:rFonts w:ascii="Times New Roman" w:hAnsi="Times New Roman" w:cs="Times New Roman"/>
          <w:sz w:val="24"/>
          <w:szCs w:val="24"/>
        </w:rPr>
        <w:t xml:space="preserve"> and</w:t>
      </w:r>
      <w:r w:rsidR="00772636" w:rsidRPr="0043224D">
        <w:rPr>
          <w:rFonts w:ascii="Times New Roman" w:hAnsi="Times New Roman" w:cs="Times New Roman"/>
          <w:sz w:val="24"/>
          <w:szCs w:val="24"/>
        </w:rPr>
        <w:t xml:space="preserve"> their</w:t>
      </w:r>
      <w:r w:rsidR="00E10E65" w:rsidRPr="0043224D">
        <w:rPr>
          <w:rFonts w:ascii="Times New Roman" w:hAnsi="Times New Roman" w:cs="Times New Roman"/>
          <w:sz w:val="24"/>
          <w:szCs w:val="24"/>
        </w:rPr>
        <w:t xml:space="preserve"> often fierce sense of</w:t>
      </w:r>
      <w:r w:rsidRPr="0043224D">
        <w:rPr>
          <w:rFonts w:ascii="Times New Roman" w:hAnsi="Times New Roman" w:cs="Times New Roman"/>
          <w:sz w:val="24"/>
          <w:szCs w:val="24"/>
        </w:rPr>
        <w:t xml:space="preserve"> independence they have been perceived by nation-states, both colonial and post-colonial, as threats to various modernist models of national development.</w:t>
      </w:r>
      <w:r w:rsidR="002B14A0" w:rsidRPr="0043224D">
        <w:rPr>
          <w:rStyle w:val="FootnoteReference"/>
          <w:rFonts w:ascii="Times New Roman" w:hAnsi="Times New Roman" w:cs="Times New Roman"/>
          <w:sz w:val="24"/>
          <w:szCs w:val="24"/>
        </w:rPr>
        <w:footnoteReference w:id="53"/>
      </w:r>
      <w:r w:rsidR="00B71BFC" w:rsidRPr="0043224D">
        <w:rPr>
          <w:rFonts w:ascii="Times New Roman" w:hAnsi="Times New Roman" w:cs="Times New Roman"/>
          <w:sz w:val="24"/>
          <w:szCs w:val="24"/>
        </w:rPr>
        <w:t xml:space="preserve"> </w:t>
      </w:r>
      <w:r w:rsidR="00C52032" w:rsidRPr="0043224D">
        <w:rPr>
          <w:rFonts w:ascii="Times New Roman" w:hAnsi="Times New Roman" w:cs="Times New Roman"/>
          <w:sz w:val="24"/>
          <w:szCs w:val="24"/>
        </w:rPr>
        <w:t>Illustrative of this troublesome relatio</w:t>
      </w:r>
      <w:r w:rsidR="00772636" w:rsidRPr="0043224D">
        <w:rPr>
          <w:rFonts w:ascii="Times New Roman" w:hAnsi="Times New Roman" w:cs="Times New Roman"/>
          <w:sz w:val="24"/>
          <w:szCs w:val="24"/>
        </w:rPr>
        <w:t>nship</w:t>
      </w:r>
      <w:r w:rsidR="00B244CF" w:rsidRPr="0043224D">
        <w:rPr>
          <w:rFonts w:ascii="Times New Roman" w:hAnsi="Times New Roman" w:cs="Times New Roman"/>
          <w:sz w:val="24"/>
          <w:szCs w:val="24"/>
        </w:rPr>
        <w:t>,</w:t>
      </w:r>
      <w:r w:rsidR="00C52032" w:rsidRPr="0043224D">
        <w:rPr>
          <w:rFonts w:ascii="Times New Roman" w:hAnsi="Times New Roman" w:cs="Times New Roman"/>
          <w:sz w:val="24"/>
          <w:szCs w:val="24"/>
        </w:rPr>
        <w:t xml:space="preserve"> in British ruled India</w:t>
      </w:r>
      <w:r w:rsidR="00B244CF" w:rsidRPr="0043224D">
        <w:rPr>
          <w:rFonts w:ascii="Times New Roman" w:hAnsi="Times New Roman" w:cs="Times New Roman"/>
          <w:sz w:val="24"/>
          <w:szCs w:val="24"/>
        </w:rPr>
        <w:t xml:space="preserve"> </w:t>
      </w:r>
      <w:r w:rsidR="00B71BFC" w:rsidRPr="0043224D">
        <w:rPr>
          <w:rFonts w:ascii="Times New Roman" w:hAnsi="Times New Roman" w:cs="Times New Roman"/>
          <w:sz w:val="24"/>
          <w:szCs w:val="24"/>
        </w:rPr>
        <w:t>as Jeremie Gilbert notes</w:t>
      </w:r>
      <w:r w:rsidR="00FE28B7">
        <w:rPr>
          <w:rFonts w:ascii="Times New Roman" w:hAnsi="Times New Roman" w:cs="Times New Roman"/>
          <w:sz w:val="24"/>
          <w:szCs w:val="24"/>
        </w:rPr>
        <w:t>,</w:t>
      </w:r>
      <w:r w:rsidR="00B244CF" w:rsidRPr="0043224D">
        <w:rPr>
          <w:rFonts w:ascii="Times New Roman" w:hAnsi="Times New Roman" w:cs="Times New Roman"/>
          <w:sz w:val="24"/>
          <w:szCs w:val="24"/>
        </w:rPr>
        <w:t xml:space="preserve"> </w:t>
      </w:r>
      <w:r w:rsidR="00C52032" w:rsidRPr="0043224D">
        <w:rPr>
          <w:rFonts w:ascii="Times New Roman" w:hAnsi="Times New Roman" w:cs="Times New Roman"/>
          <w:sz w:val="24"/>
          <w:szCs w:val="24"/>
        </w:rPr>
        <w:t xml:space="preserve">nomadism was </w:t>
      </w:r>
      <w:r w:rsidR="00B71BFC" w:rsidRPr="0043224D">
        <w:rPr>
          <w:rFonts w:ascii="Times New Roman" w:hAnsi="Times New Roman" w:cs="Times New Roman"/>
          <w:sz w:val="24"/>
          <w:szCs w:val="24"/>
        </w:rPr>
        <w:t>official</w:t>
      </w:r>
      <w:r w:rsidR="00C52032" w:rsidRPr="0043224D">
        <w:rPr>
          <w:rFonts w:ascii="Times New Roman" w:hAnsi="Times New Roman" w:cs="Times New Roman"/>
          <w:sz w:val="24"/>
          <w:szCs w:val="24"/>
        </w:rPr>
        <w:t>ly prohibited</w:t>
      </w:r>
      <w:r w:rsidR="00B71BFC" w:rsidRPr="0043224D">
        <w:rPr>
          <w:rFonts w:ascii="Times New Roman" w:hAnsi="Times New Roman" w:cs="Times New Roman"/>
          <w:sz w:val="24"/>
          <w:szCs w:val="24"/>
        </w:rPr>
        <w:t xml:space="preserve"> under the Criminal Tribes Act of 1871</w:t>
      </w:r>
      <w:r w:rsidR="00C52032" w:rsidRPr="0043224D">
        <w:rPr>
          <w:rFonts w:ascii="Times New Roman" w:hAnsi="Times New Roman" w:cs="Times New Roman"/>
          <w:sz w:val="24"/>
          <w:szCs w:val="24"/>
        </w:rPr>
        <w:t>, which was in turn replaced after independence by the Habitual Offenders Act of 1959.</w:t>
      </w:r>
      <w:r w:rsidR="00460FC5" w:rsidRPr="0043224D">
        <w:rPr>
          <w:rStyle w:val="FootnoteReference"/>
          <w:rFonts w:ascii="Times New Roman" w:hAnsi="Times New Roman" w:cs="Times New Roman"/>
          <w:sz w:val="24"/>
          <w:szCs w:val="24"/>
        </w:rPr>
        <w:footnoteReference w:id="54"/>
      </w:r>
      <w:r w:rsidRPr="0043224D">
        <w:rPr>
          <w:rFonts w:ascii="Times New Roman" w:hAnsi="Times New Roman" w:cs="Times New Roman"/>
          <w:sz w:val="24"/>
          <w:szCs w:val="24"/>
        </w:rPr>
        <w:t xml:space="preserve"> </w:t>
      </w:r>
      <w:r w:rsidR="00C52032" w:rsidRPr="0043224D">
        <w:rPr>
          <w:rFonts w:ascii="Times New Roman" w:hAnsi="Times New Roman" w:cs="Times New Roman"/>
          <w:sz w:val="24"/>
          <w:szCs w:val="24"/>
        </w:rPr>
        <w:t xml:space="preserve"> </w:t>
      </w:r>
    </w:p>
    <w:p w:rsidR="00784DCA" w:rsidRPr="009A7D50" w:rsidRDefault="00D575CF"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In addition, </w:t>
      </w:r>
      <w:r w:rsidR="00A53F46" w:rsidRPr="0043224D">
        <w:rPr>
          <w:rFonts w:ascii="Times New Roman" w:hAnsi="Times New Roman" w:cs="Times New Roman"/>
          <w:sz w:val="24"/>
          <w:szCs w:val="24"/>
        </w:rPr>
        <w:t>INPs</w:t>
      </w:r>
      <w:r w:rsidRPr="0043224D">
        <w:rPr>
          <w:rFonts w:ascii="Times New Roman" w:hAnsi="Times New Roman" w:cs="Times New Roman"/>
          <w:sz w:val="24"/>
          <w:szCs w:val="24"/>
        </w:rPr>
        <w:t xml:space="preserve"> tend to inhabit areas of </w:t>
      </w:r>
      <w:r w:rsidR="00FE28B7">
        <w:rPr>
          <w:rFonts w:ascii="Times New Roman" w:hAnsi="Times New Roman" w:cs="Times New Roman"/>
          <w:sz w:val="24"/>
          <w:szCs w:val="24"/>
        </w:rPr>
        <w:t>rich</w:t>
      </w:r>
      <w:r w:rsidRPr="0043224D">
        <w:rPr>
          <w:rFonts w:ascii="Times New Roman" w:hAnsi="Times New Roman" w:cs="Times New Roman"/>
          <w:sz w:val="24"/>
          <w:szCs w:val="24"/>
        </w:rPr>
        <w:t xml:space="preserve"> biodiversity</w:t>
      </w:r>
      <w:r w:rsidR="00FE28B7">
        <w:rPr>
          <w:rFonts w:ascii="Times New Roman" w:hAnsi="Times New Roman" w:cs="Times New Roman"/>
          <w:sz w:val="24"/>
          <w:szCs w:val="24"/>
        </w:rPr>
        <w:t xml:space="preserve">, including </w:t>
      </w:r>
      <w:r w:rsidR="00E10E65" w:rsidRPr="0043224D">
        <w:rPr>
          <w:rFonts w:ascii="Times New Roman" w:hAnsi="Times New Roman" w:cs="Times New Roman"/>
          <w:sz w:val="24"/>
          <w:szCs w:val="24"/>
        </w:rPr>
        <w:t>significant areas of rich mineral deposits</w:t>
      </w:r>
      <w:r w:rsidR="00772636" w:rsidRPr="0043224D">
        <w:rPr>
          <w:rFonts w:ascii="Times New Roman" w:hAnsi="Times New Roman" w:cs="Times New Roman"/>
          <w:sz w:val="24"/>
          <w:szCs w:val="24"/>
        </w:rPr>
        <w:t>-</w:t>
      </w:r>
      <w:r w:rsidRPr="0043224D">
        <w:rPr>
          <w:rFonts w:ascii="Times New Roman" w:hAnsi="Times New Roman" w:cs="Times New Roman"/>
          <w:sz w:val="24"/>
          <w:szCs w:val="24"/>
        </w:rPr>
        <w:t xml:space="preserve">whether in the Amazon, </w:t>
      </w:r>
      <w:r w:rsidR="00E10E65" w:rsidRPr="0043224D">
        <w:rPr>
          <w:rFonts w:ascii="Times New Roman" w:hAnsi="Times New Roman" w:cs="Times New Roman"/>
          <w:sz w:val="24"/>
          <w:szCs w:val="24"/>
        </w:rPr>
        <w:t xml:space="preserve">Australia, </w:t>
      </w:r>
      <w:r w:rsidRPr="0043224D">
        <w:rPr>
          <w:rFonts w:ascii="Times New Roman" w:hAnsi="Times New Roman" w:cs="Times New Roman"/>
          <w:sz w:val="24"/>
          <w:szCs w:val="24"/>
        </w:rPr>
        <w:t>Western China,</w:t>
      </w:r>
      <w:r w:rsidR="00E10E65" w:rsidRPr="0043224D">
        <w:rPr>
          <w:rFonts w:ascii="Times New Roman" w:hAnsi="Times New Roman" w:cs="Times New Roman"/>
          <w:sz w:val="24"/>
          <w:szCs w:val="24"/>
        </w:rPr>
        <w:t xml:space="preserve"> the tribal hills of the Indian sub-continent,</w:t>
      </w:r>
      <w:r w:rsidRPr="0043224D">
        <w:rPr>
          <w:rFonts w:ascii="Times New Roman" w:hAnsi="Times New Roman" w:cs="Times New Roman"/>
          <w:sz w:val="24"/>
          <w:szCs w:val="24"/>
        </w:rPr>
        <w:t xml:space="preserve"> Central Africa, and increasingly, the Arctic Circle.</w:t>
      </w:r>
      <w:r w:rsidR="00312C72" w:rsidRPr="0043224D">
        <w:rPr>
          <w:rFonts w:ascii="Times New Roman" w:hAnsi="Times New Roman" w:cs="Times New Roman"/>
          <w:sz w:val="24"/>
          <w:szCs w:val="24"/>
        </w:rPr>
        <w:t xml:space="preserve"> </w:t>
      </w:r>
      <w:r w:rsidR="00E10E65" w:rsidRPr="0043224D">
        <w:rPr>
          <w:rFonts w:ascii="Times New Roman" w:hAnsi="Times New Roman" w:cs="Times New Roman"/>
          <w:sz w:val="24"/>
          <w:szCs w:val="24"/>
        </w:rPr>
        <w:t xml:space="preserve">This is a critical </w:t>
      </w:r>
      <w:r w:rsidR="004013E0" w:rsidRPr="0043224D">
        <w:rPr>
          <w:rFonts w:ascii="Times New Roman" w:hAnsi="Times New Roman" w:cs="Times New Roman"/>
          <w:sz w:val="24"/>
          <w:szCs w:val="24"/>
        </w:rPr>
        <w:t>point</w:t>
      </w:r>
      <w:r w:rsidR="00E10E65" w:rsidRPr="0043224D">
        <w:rPr>
          <w:rFonts w:ascii="Times New Roman" w:hAnsi="Times New Roman" w:cs="Times New Roman"/>
          <w:sz w:val="24"/>
          <w:szCs w:val="24"/>
        </w:rPr>
        <w:t xml:space="preserve"> and one which is of </w:t>
      </w:r>
      <w:r w:rsidR="004013E0" w:rsidRPr="0043224D">
        <w:rPr>
          <w:rFonts w:ascii="Times New Roman" w:hAnsi="Times New Roman" w:cs="Times New Roman"/>
          <w:sz w:val="24"/>
          <w:szCs w:val="24"/>
        </w:rPr>
        <w:t xml:space="preserve">noteworthy </w:t>
      </w:r>
      <w:r w:rsidR="00E10E65" w:rsidRPr="0043224D">
        <w:rPr>
          <w:rFonts w:ascii="Times New Roman" w:hAnsi="Times New Roman" w:cs="Times New Roman"/>
          <w:sz w:val="24"/>
          <w:szCs w:val="24"/>
        </w:rPr>
        <w:t>importance</w:t>
      </w:r>
      <w:r w:rsidR="004013E0" w:rsidRPr="0043224D">
        <w:rPr>
          <w:rFonts w:ascii="Times New Roman" w:hAnsi="Times New Roman" w:cs="Times New Roman"/>
          <w:sz w:val="24"/>
          <w:szCs w:val="24"/>
        </w:rPr>
        <w:t>,</w:t>
      </w:r>
      <w:r w:rsidR="00E10E65" w:rsidRPr="0043224D">
        <w:rPr>
          <w:rFonts w:ascii="Times New Roman" w:hAnsi="Times New Roman" w:cs="Times New Roman"/>
          <w:sz w:val="24"/>
          <w:szCs w:val="24"/>
        </w:rPr>
        <w:t xml:space="preserve"> and</w:t>
      </w:r>
      <w:r w:rsidR="004013E0" w:rsidRPr="0043224D">
        <w:rPr>
          <w:rFonts w:ascii="Times New Roman" w:hAnsi="Times New Roman" w:cs="Times New Roman"/>
          <w:sz w:val="24"/>
          <w:szCs w:val="24"/>
        </w:rPr>
        <w:t xml:space="preserve"> moreover,</w:t>
      </w:r>
      <w:r w:rsidR="00E10E65" w:rsidRPr="0043224D">
        <w:rPr>
          <w:rFonts w:ascii="Times New Roman" w:hAnsi="Times New Roman" w:cs="Times New Roman"/>
          <w:sz w:val="24"/>
          <w:szCs w:val="24"/>
        </w:rPr>
        <w:t xml:space="preserve"> </w:t>
      </w:r>
      <w:r w:rsidR="00A53F46" w:rsidRPr="0043224D">
        <w:rPr>
          <w:rFonts w:ascii="Times New Roman" w:hAnsi="Times New Roman" w:cs="Times New Roman"/>
          <w:sz w:val="24"/>
          <w:szCs w:val="24"/>
        </w:rPr>
        <w:t xml:space="preserve">it is </w:t>
      </w:r>
      <w:r w:rsidR="00E10E65" w:rsidRPr="0043224D">
        <w:rPr>
          <w:rFonts w:ascii="Times New Roman" w:hAnsi="Times New Roman" w:cs="Times New Roman"/>
          <w:sz w:val="24"/>
          <w:szCs w:val="24"/>
        </w:rPr>
        <w:t xml:space="preserve">often the key driver in the displacement of non-sedentary and sedentary indigenous peoples alike. </w:t>
      </w:r>
      <w:r w:rsidR="00281A04" w:rsidRPr="0043224D">
        <w:rPr>
          <w:rFonts w:ascii="Times New Roman" w:hAnsi="Times New Roman" w:cs="Times New Roman"/>
          <w:sz w:val="24"/>
          <w:szCs w:val="24"/>
        </w:rPr>
        <w:t>This thesis therefore posits that the act of displac</w:t>
      </w:r>
      <w:r w:rsidR="00460FC5" w:rsidRPr="0043224D">
        <w:rPr>
          <w:rFonts w:ascii="Times New Roman" w:hAnsi="Times New Roman" w:cs="Times New Roman"/>
          <w:sz w:val="24"/>
          <w:szCs w:val="24"/>
        </w:rPr>
        <w:t>ement</w:t>
      </w:r>
      <w:r w:rsidR="00281A04" w:rsidRPr="0043224D">
        <w:rPr>
          <w:rFonts w:ascii="Times New Roman" w:hAnsi="Times New Roman" w:cs="Times New Roman"/>
          <w:sz w:val="24"/>
          <w:szCs w:val="24"/>
        </w:rPr>
        <w:t xml:space="preserve"> and therefore</w:t>
      </w:r>
      <w:r w:rsidR="00460FC5" w:rsidRPr="0043224D">
        <w:rPr>
          <w:rFonts w:ascii="Times New Roman" w:hAnsi="Times New Roman" w:cs="Times New Roman"/>
          <w:sz w:val="24"/>
          <w:szCs w:val="24"/>
        </w:rPr>
        <w:t xml:space="preserve"> of</w:t>
      </w:r>
      <w:r w:rsidR="00281A04" w:rsidRPr="0043224D">
        <w:rPr>
          <w:rFonts w:ascii="Times New Roman" w:hAnsi="Times New Roman" w:cs="Times New Roman"/>
          <w:sz w:val="24"/>
          <w:szCs w:val="24"/>
        </w:rPr>
        <w:t xml:space="preserve"> dispo</w:t>
      </w:r>
      <w:r w:rsidR="00460FC5" w:rsidRPr="0043224D">
        <w:rPr>
          <w:rFonts w:ascii="Times New Roman" w:hAnsi="Times New Roman" w:cs="Times New Roman"/>
          <w:sz w:val="24"/>
          <w:szCs w:val="24"/>
        </w:rPr>
        <w:t>ssession of</w:t>
      </w:r>
      <w:r w:rsidR="00775BB2" w:rsidRPr="0043224D">
        <w:rPr>
          <w:rFonts w:ascii="Times New Roman" w:hAnsi="Times New Roman" w:cs="Times New Roman"/>
          <w:sz w:val="24"/>
          <w:szCs w:val="24"/>
        </w:rPr>
        <w:t xml:space="preserve"> INPs in particular</w:t>
      </w:r>
      <w:r w:rsidR="00460FC5" w:rsidRPr="0043224D">
        <w:rPr>
          <w:rFonts w:ascii="Times New Roman" w:hAnsi="Times New Roman" w:cs="Times New Roman"/>
          <w:sz w:val="24"/>
          <w:szCs w:val="24"/>
        </w:rPr>
        <w:t>,</w:t>
      </w:r>
      <w:r w:rsidR="008655C7" w:rsidRPr="0043224D">
        <w:rPr>
          <w:rFonts w:ascii="Times New Roman" w:hAnsi="Times New Roman" w:cs="Times New Roman"/>
          <w:sz w:val="24"/>
          <w:szCs w:val="24"/>
        </w:rPr>
        <w:t xml:space="preserve"> has particular </w:t>
      </w:r>
      <w:r w:rsidR="00FF089A">
        <w:rPr>
          <w:rFonts w:ascii="Times New Roman" w:hAnsi="Times New Roman" w:cs="Times New Roman"/>
          <w:sz w:val="24"/>
          <w:szCs w:val="24"/>
        </w:rPr>
        <w:t xml:space="preserve">critical </w:t>
      </w:r>
      <w:r w:rsidR="008655C7" w:rsidRPr="0043224D">
        <w:rPr>
          <w:rFonts w:ascii="Times New Roman" w:hAnsi="Times New Roman" w:cs="Times New Roman"/>
          <w:sz w:val="24"/>
          <w:szCs w:val="24"/>
        </w:rPr>
        <w:t>resonance for these groups.</w:t>
      </w:r>
      <w:r w:rsidR="00FF089A">
        <w:rPr>
          <w:rFonts w:ascii="Times New Roman" w:hAnsi="Times New Roman" w:cs="Times New Roman"/>
          <w:sz w:val="24"/>
          <w:szCs w:val="24"/>
        </w:rPr>
        <w:t xml:space="preserve"> </w:t>
      </w:r>
      <w:r w:rsidR="00013ED9">
        <w:rPr>
          <w:rFonts w:ascii="Times New Roman" w:hAnsi="Times New Roman" w:cs="Times New Roman"/>
          <w:sz w:val="24"/>
          <w:szCs w:val="24"/>
        </w:rPr>
        <w:t>In light of this, the</w:t>
      </w:r>
      <w:r w:rsidR="00FF089A">
        <w:rPr>
          <w:rFonts w:ascii="Times New Roman" w:hAnsi="Times New Roman" w:cs="Times New Roman"/>
          <w:sz w:val="24"/>
          <w:szCs w:val="24"/>
        </w:rPr>
        <w:t xml:space="preserve"> next chapter now turns to explore the conceptual notion of development as a driver of displacement</w:t>
      </w:r>
      <w:r w:rsidR="0078484C">
        <w:rPr>
          <w:rFonts w:ascii="Times New Roman" w:hAnsi="Times New Roman" w:cs="Times New Roman"/>
          <w:sz w:val="24"/>
          <w:szCs w:val="24"/>
        </w:rPr>
        <w:t xml:space="preserve">, and what role collective indigenous rights play in this process. </w:t>
      </w:r>
      <w:r w:rsidR="00FF089A">
        <w:rPr>
          <w:rFonts w:ascii="Times New Roman" w:hAnsi="Times New Roman" w:cs="Times New Roman"/>
          <w:sz w:val="24"/>
          <w:szCs w:val="24"/>
        </w:rPr>
        <w:t xml:space="preserve"> </w:t>
      </w:r>
    </w:p>
    <w:p w:rsidR="00060EEC" w:rsidRDefault="00060EEC">
      <w:pPr>
        <w:rPr>
          <w:rFonts w:ascii="Times New Roman" w:eastAsiaTheme="majorEastAsia" w:hAnsi="Times New Roman" w:cstheme="majorBidi"/>
          <w:b/>
          <w:bCs/>
          <w:color w:val="365F91" w:themeColor="accent1" w:themeShade="BF"/>
          <w:sz w:val="36"/>
          <w:szCs w:val="28"/>
        </w:rPr>
      </w:pPr>
      <w:r>
        <w:br w:type="page"/>
      </w:r>
    </w:p>
    <w:p w:rsidR="002B6143" w:rsidRPr="002B6143" w:rsidRDefault="002B6143" w:rsidP="0043224D">
      <w:pPr>
        <w:pStyle w:val="Heading1"/>
        <w:spacing w:line="360" w:lineRule="auto"/>
      </w:pPr>
      <w:bookmarkStart w:id="17" w:name="_Toc399848350"/>
      <w:r w:rsidRPr="002B6143">
        <w:t xml:space="preserve">CHAPER </w:t>
      </w:r>
      <w:r w:rsidR="00ED6F51">
        <w:t>3</w:t>
      </w:r>
      <w:r w:rsidR="0081155D">
        <w:t xml:space="preserve"> - </w:t>
      </w:r>
      <w:r w:rsidRPr="002B6143">
        <w:t xml:space="preserve">The “Development Imperative” </w:t>
      </w:r>
      <w:r w:rsidR="009D6EE2">
        <w:t>versus</w:t>
      </w:r>
      <w:r w:rsidRPr="002B6143">
        <w:t xml:space="preserve"> Indigenous Collective Rights</w:t>
      </w:r>
      <w:r w:rsidR="009D6EE2">
        <w:t>?</w:t>
      </w:r>
      <w:bookmarkEnd w:id="17"/>
      <w:r w:rsidRPr="002B6143">
        <w:t xml:space="preserve">  </w:t>
      </w:r>
    </w:p>
    <w:p w:rsidR="00F25CB7" w:rsidRPr="002B6143" w:rsidRDefault="001066E8" w:rsidP="0043224D">
      <w:pPr>
        <w:pStyle w:val="Heading2"/>
        <w:spacing w:line="360" w:lineRule="auto"/>
      </w:pPr>
      <w:bookmarkStart w:id="18" w:name="_Toc399848351"/>
      <w:r>
        <w:t>3.1</w:t>
      </w:r>
      <w:r w:rsidR="003145DB" w:rsidRPr="002B6143">
        <w:t xml:space="preserve"> </w:t>
      </w:r>
      <w:r w:rsidR="00DE403D" w:rsidRPr="002B6143">
        <w:t xml:space="preserve">Indigenous </w:t>
      </w:r>
      <w:r w:rsidR="00D93A9E" w:rsidRPr="002B6143">
        <w:t xml:space="preserve">Rights </w:t>
      </w:r>
      <w:r w:rsidR="00DE403D" w:rsidRPr="002B6143">
        <w:t>versus</w:t>
      </w:r>
      <w:r w:rsidR="00D93A9E" w:rsidRPr="002B6143">
        <w:t xml:space="preserve"> Economic Growth?</w:t>
      </w:r>
      <w:bookmarkEnd w:id="18"/>
      <w:r w:rsidR="00D5228E" w:rsidRPr="002B6143">
        <w:t xml:space="preserve"> </w:t>
      </w:r>
      <w:r w:rsidR="00DE403D" w:rsidRPr="002B6143">
        <w:t xml:space="preserve"> </w:t>
      </w:r>
    </w:p>
    <w:p w:rsidR="0008018E" w:rsidRPr="0043224D" w:rsidRDefault="005C321D"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To briefly recap, this thesis posits that </w:t>
      </w:r>
      <w:r w:rsidRPr="0043224D">
        <w:rPr>
          <w:rFonts w:ascii="Times New Roman" w:hAnsi="Times New Roman" w:cs="Times New Roman"/>
          <w:color w:val="222222"/>
          <w:sz w:val="24"/>
          <w:szCs w:val="24"/>
          <w:shd w:val="clear" w:color="auto" w:fill="FFFFFF"/>
        </w:rPr>
        <w:t xml:space="preserve">the </w:t>
      </w:r>
      <w:r w:rsidR="00071B31" w:rsidRPr="0043224D">
        <w:rPr>
          <w:rFonts w:ascii="Times New Roman" w:hAnsi="Times New Roman" w:cs="Times New Roman"/>
          <w:color w:val="222222"/>
          <w:sz w:val="24"/>
          <w:szCs w:val="24"/>
          <w:shd w:val="clear" w:color="auto" w:fill="FFFFFF"/>
        </w:rPr>
        <w:t>outcome</w:t>
      </w:r>
      <w:r w:rsidRPr="0043224D">
        <w:rPr>
          <w:rFonts w:ascii="Times New Roman" w:hAnsi="Times New Roman" w:cs="Times New Roman"/>
          <w:color w:val="222222"/>
          <w:sz w:val="24"/>
          <w:szCs w:val="24"/>
          <w:shd w:val="clear" w:color="auto" w:fill="FFFFFF"/>
        </w:rPr>
        <w:t xml:space="preserve"> of coercive development-induced displacement </w:t>
      </w:r>
      <w:r w:rsidR="00071B31" w:rsidRPr="0043224D">
        <w:rPr>
          <w:rFonts w:ascii="Times New Roman" w:hAnsi="Times New Roman" w:cs="Times New Roman"/>
          <w:color w:val="222222"/>
          <w:sz w:val="24"/>
          <w:szCs w:val="24"/>
          <w:shd w:val="clear" w:color="auto" w:fill="FFFFFF"/>
        </w:rPr>
        <w:t>is</w:t>
      </w:r>
      <w:r w:rsidRPr="0043224D">
        <w:rPr>
          <w:rFonts w:ascii="Times New Roman" w:hAnsi="Times New Roman" w:cs="Times New Roman"/>
          <w:color w:val="222222"/>
          <w:sz w:val="24"/>
          <w:szCs w:val="24"/>
          <w:shd w:val="clear" w:color="auto" w:fill="FFFFFF"/>
        </w:rPr>
        <w:t xml:space="preserve"> that of indigenous peoples’ dispossession and loss.</w:t>
      </w:r>
      <w:r w:rsidR="005F158F" w:rsidRPr="0043224D">
        <w:rPr>
          <w:rFonts w:ascii="Times New Roman" w:hAnsi="Times New Roman" w:cs="Times New Roman"/>
          <w:color w:val="222222"/>
          <w:sz w:val="24"/>
          <w:szCs w:val="24"/>
          <w:shd w:val="clear" w:color="auto" w:fill="FFFFFF"/>
        </w:rPr>
        <w:t xml:space="preserve"> </w:t>
      </w:r>
      <w:r w:rsidRPr="0043224D">
        <w:rPr>
          <w:rFonts w:ascii="Times New Roman" w:hAnsi="Times New Roman" w:cs="Times New Roman"/>
          <w:color w:val="222222"/>
          <w:sz w:val="24"/>
          <w:szCs w:val="24"/>
          <w:shd w:val="clear" w:color="auto" w:fill="FFFFFF"/>
        </w:rPr>
        <w:t xml:space="preserve"> Therefore</w:t>
      </w:r>
      <w:r w:rsidR="00553854" w:rsidRPr="0043224D">
        <w:rPr>
          <w:rFonts w:ascii="Times New Roman" w:hAnsi="Times New Roman" w:cs="Times New Roman"/>
          <w:color w:val="222222"/>
          <w:sz w:val="24"/>
          <w:szCs w:val="24"/>
          <w:shd w:val="clear" w:color="auto" w:fill="FFFFFF"/>
        </w:rPr>
        <w:t xml:space="preserve"> to </w:t>
      </w:r>
      <w:r w:rsidR="00177B38" w:rsidRPr="0043224D">
        <w:rPr>
          <w:rFonts w:ascii="Times New Roman" w:hAnsi="Times New Roman" w:cs="Times New Roman"/>
          <w:color w:val="222222"/>
          <w:sz w:val="24"/>
          <w:szCs w:val="24"/>
          <w:shd w:val="clear" w:color="auto" w:fill="FFFFFF"/>
        </w:rPr>
        <w:t>re</w:t>
      </w:r>
      <w:r w:rsidR="00553854" w:rsidRPr="0043224D">
        <w:rPr>
          <w:rFonts w:ascii="Times New Roman" w:hAnsi="Times New Roman" w:cs="Times New Roman"/>
          <w:color w:val="222222"/>
          <w:sz w:val="24"/>
          <w:szCs w:val="24"/>
          <w:shd w:val="clear" w:color="auto" w:fill="FFFFFF"/>
        </w:rPr>
        <w:t>calibrate,</w:t>
      </w:r>
      <w:r w:rsidR="00284B49" w:rsidRPr="0043224D">
        <w:rPr>
          <w:rFonts w:ascii="Times New Roman" w:hAnsi="Times New Roman" w:cs="Times New Roman"/>
          <w:color w:val="222222"/>
          <w:sz w:val="24"/>
          <w:szCs w:val="24"/>
          <w:shd w:val="clear" w:color="auto" w:fill="FFFFFF"/>
        </w:rPr>
        <w:t xml:space="preserve"> </w:t>
      </w:r>
      <w:r w:rsidR="000F7809" w:rsidRPr="0043224D">
        <w:rPr>
          <w:rFonts w:ascii="Times New Roman" w:hAnsi="Times New Roman" w:cs="Times New Roman"/>
          <w:color w:val="222222"/>
          <w:sz w:val="24"/>
          <w:szCs w:val="24"/>
          <w:shd w:val="clear" w:color="auto" w:fill="FFFFFF"/>
        </w:rPr>
        <w:t>normative</w:t>
      </w:r>
      <w:r w:rsidRPr="0043224D">
        <w:rPr>
          <w:rFonts w:ascii="Times New Roman" w:hAnsi="Times New Roman" w:cs="Times New Roman"/>
          <w:color w:val="222222"/>
          <w:sz w:val="24"/>
          <w:szCs w:val="24"/>
          <w:shd w:val="clear" w:color="auto" w:fill="FFFFFF"/>
        </w:rPr>
        <w:t xml:space="preserve"> state induced development is the </w:t>
      </w:r>
      <w:r w:rsidR="000F7809" w:rsidRPr="0043224D">
        <w:rPr>
          <w:rFonts w:ascii="Times New Roman" w:hAnsi="Times New Roman" w:cs="Times New Roman"/>
          <w:color w:val="222222"/>
          <w:sz w:val="24"/>
          <w:szCs w:val="24"/>
          <w:shd w:val="clear" w:color="auto" w:fill="FFFFFF"/>
        </w:rPr>
        <w:t xml:space="preserve">initial </w:t>
      </w:r>
      <w:r w:rsidRPr="0043224D">
        <w:rPr>
          <w:rFonts w:ascii="Times New Roman" w:hAnsi="Times New Roman" w:cs="Times New Roman"/>
          <w:color w:val="222222"/>
          <w:sz w:val="24"/>
          <w:szCs w:val="24"/>
          <w:shd w:val="clear" w:color="auto" w:fill="FFFFFF"/>
        </w:rPr>
        <w:t>cause</w:t>
      </w:r>
      <w:r w:rsidR="000F7809" w:rsidRPr="0043224D">
        <w:rPr>
          <w:rFonts w:ascii="Times New Roman" w:hAnsi="Times New Roman" w:cs="Times New Roman"/>
          <w:color w:val="222222"/>
          <w:sz w:val="24"/>
          <w:szCs w:val="24"/>
          <w:shd w:val="clear" w:color="auto" w:fill="FFFFFF"/>
        </w:rPr>
        <w:t>, displacement</w:t>
      </w:r>
      <w:r w:rsidRPr="0043224D">
        <w:rPr>
          <w:rFonts w:ascii="Times New Roman" w:hAnsi="Times New Roman" w:cs="Times New Roman"/>
          <w:color w:val="222222"/>
          <w:sz w:val="24"/>
          <w:szCs w:val="24"/>
          <w:shd w:val="clear" w:color="auto" w:fill="FFFFFF"/>
        </w:rPr>
        <w:t xml:space="preserve"> is the outcome, and the consequences are, amongst other things</w:t>
      </w:r>
      <w:r w:rsidR="000F7809" w:rsidRPr="0043224D">
        <w:rPr>
          <w:rFonts w:ascii="Times New Roman" w:hAnsi="Times New Roman" w:cs="Times New Roman"/>
          <w:color w:val="222222"/>
          <w:sz w:val="24"/>
          <w:szCs w:val="24"/>
          <w:shd w:val="clear" w:color="auto" w:fill="FFFFFF"/>
        </w:rPr>
        <w:t>, physical</w:t>
      </w:r>
      <w:r w:rsidRPr="0043224D">
        <w:rPr>
          <w:rFonts w:ascii="Times New Roman" w:hAnsi="Times New Roman" w:cs="Times New Roman"/>
          <w:color w:val="222222"/>
          <w:sz w:val="24"/>
          <w:szCs w:val="24"/>
          <w:shd w:val="clear" w:color="auto" w:fill="FFFFFF"/>
        </w:rPr>
        <w:t>,</w:t>
      </w:r>
      <w:r w:rsidR="00071B31" w:rsidRPr="0043224D">
        <w:rPr>
          <w:rFonts w:ascii="Times New Roman" w:hAnsi="Times New Roman" w:cs="Times New Roman"/>
          <w:color w:val="222222"/>
          <w:sz w:val="24"/>
          <w:szCs w:val="24"/>
          <w:shd w:val="clear" w:color="auto" w:fill="FFFFFF"/>
        </w:rPr>
        <w:t xml:space="preserve"> cultural</w:t>
      </w:r>
      <w:r w:rsidR="000F7809" w:rsidRPr="0043224D">
        <w:rPr>
          <w:rFonts w:ascii="Times New Roman" w:hAnsi="Times New Roman" w:cs="Times New Roman"/>
          <w:color w:val="222222"/>
          <w:sz w:val="24"/>
          <w:szCs w:val="24"/>
          <w:shd w:val="clear" w:color="auto" w:fill="FFFFFF"/>
        </w:rPr>
        <w:t xml:space="preserve"> and social</w:t>
      </w:r>
      <w:r w:rsidRPr="0043224D">
        <w:rPr>
          <w:rFonts w:ascii="Times New Roman" w:hAnsi="Times New Roman" w:cs="Times New Roman"/>
          <w:color w:val="222222"/>
          <w:sz w:val="24"/>
          <w:szCs w:val="24"/>
          <w:shd w:val="clear" w:color="auto" w:fill="FFFFFF"/>
        </w:rPr>
        <w:t xml:space="preserve"> dispossessions</w:t>
      </w:r>
      <w:r w:rsidR="000F7809" w:rsidRPr="0043224D">
        <w:rPr>
          <w:rFonts w:ascii="Times New Roman" w:hAnsi="Times New Roman" w:cs="Times New Roman"/>
          <w:color w:val="222222"/>
          <w:sz w:val="24"/>
          <w:szCs w:val="24"/>
          <w:shd w:val="clear" w:color="auto" w:fill="FFFFFF"/>
        </w:rPr>
        <w:t>.</w:t>
      </w:r>
      <w:r w:rsidRPr="0043224D">
        <w:rPr>
          <w:rFonts w:ascii="Times New Roman" w:hAnsi="Times New Roman" w:cs="Times New Roman"/>
          <w:color w:val="222222"/>
          <w:sz w:val="24"/>
          <w:szCs w:val="24"/>
          <w:shd w:val="clear" w:color="auto" w:fill="FFFFFF"/>
        </w:rPr>
        <w:t xml:space="preserve"> </w:t>
      </w:r>
      <w:r w:rsidR="002213F4" w:rsidRPr="0043224D">
        <w:rPr>
          <w:rFonts w:ascii="Times New Roman" w:hAnsi="Times New Roman" w:cs="Times New Roman"/>
          <w:color w:val="222222"/>
          <w:sz w:val="24"/>
          <w:szCs w:val="24"/>
          <w:shd w:val="clear" w:color="auto" w:fill="FFFFFF"/>
        </w:rPr>
        <w:t>Without the collective right</w:t>
      </w:r>
      <w:r w:rsidR="00312C72" w:rsidRPr="0043224D">
        <w:rPr>
          <w:rFonts w:ascii="Times New Roman" w:hAnsi="Times New Roman" w:cs="Times New Roman"/>
          <w:color w:val="222222"/>
          <w:sz w:val="24"/>
          <w:szCs w:val="24"/>
          <w:shd w:val="clear" w:color="auto" w:fill="FFFFFF"/>
        </w:rPr>
        <w:t xml:space="preserve"> </w:t>
      </w:r>
      <w:r w:rsidR="002213F4" w:rsidRPr="0043224D">
        <w:rPr>
          <w:rFonts w:ascii="Times New Roman" w:hAnsi="Times New Roman" w:cs="Times New Roman"/>
          <w:color w:val="222222"/>
          <w:sz w:val="24"/>
          <w:szCs w:val="24"/>
          <w:shd w:val="clear" w:color="auto" w:fill="FFFFFF"/>
        </w:rPr>
        <w:t>to land</w:t>
      </w:r>
      <w:r w:rsidR="00B628E4" w:rsidRPr="0043224D">
        <w:rPr>
          <w:rFonts w:ascii="Times New Roman" w:hAnsi="Times New Roman" w:cs="Times New Roman"/>
          <w:color w:val="222222"/>
          <w:sz w:val="24"/>
          <w:szCs w:val="24"/>
          <w:shd w:val="clear" w:color="auto" w:fill="FFFFFF"/>
        </w:rPr>
        <w:t xml:space="preserve"> and territories</w:t>
      </w:r>
      <w:r w:rsidR="002B14A0" w:rsidRPr="0043224D">
        <w:rPr>
          <w:rFonts w:ascii="Times New Roman" w:hAnsi="Times New Roman" w:cs="Times New Roman"/>
          <w:color w:val="222222"/>
          <w:sz w:val="24"/>
          <w:szCs w:val="24"/>
          <w:shd w:val="clear" w:color="auto" w:fill="FFFFFF"/>
        </w:rPr>
        <w:t>-</w:t>
      </w:r>
      <w:r w:rsidR="002213F4" w:rsidRPr="0043224D">
        <w:rPr>
          <w:rFonts w:ascii="Times New Roman" w:hAnsi="Times New Roman" w:cs="Times New Roman"/>
          <w:color w:val="222222"/>
          <w:sz w:val="24"/>
          <w:szCs w:val="24"/>
          <w:shd w:val="clear" w:color="auto" w:fill="FFFFFF"/>
        </w:rPr>
        <w:t>including forests, rivers, and mountains</w:t>
      </w:r>
      <w:r w:rsidR="00E13057" w:rsidRPr="0043224D">
        <w:rPr>
          <w:rFonts w:ascii="Times New Roman" w:hAnsi="Times New Roman" w:cs="Times New Roman"/>
          <w:color w:val="222222"/>
          <w:sz w:val="24"/>
          <w:szCs w:val="24"/>
          <w:shd w:val="clear" w:color="auto" w:fill="FFFFFF"/>
        </w:rPr>
        <w:t>, and the resources therein</w:t>
      </w:r>
      <w:r w:rsidR="002213F4" w:rsidRPr="0043224D">
        <w:rPr>
          <w:rFonts w:ascii="Times New Roman" w:hAnsi="Times New Roman" w:cs="Times New Roman"/>
          <w:color w:val="222222"/>
          <w:sz w:val="24"/>
          <w:szCs w:val="24"/>
          <w:shd w:val="clear" w:color="auto" w:fill="FFFFFF"/>
        </w:rPr>
        <w:t>-indigenous peoples are subject to forced and arbitrary displacement in the name of development</w:t>
      </w:r>
      <w:r w:rsidR="00B628E4" w:rsidRPr="0043224D">
        <w:rPr>
          <w:rFonts w:ascii="Times New Roman" w:hAnsi="Times New Roman" w:cs="Times New Roman"/>
          <w:color w:val="222222"/>
          <w:sz w:val="24"/>
          <w:szCs w:val="24"/>
          <w:shd w:val="clear" w:color="auto" w:fill="FFFFFF"/>
        </w:rPr>
        <w:t xml:space="preserve">, development often justified </w:t>
      </w:r>
      <w:r w:rsidR="006C4E0C" w:rsidRPr="0043224D">
        <w:rPr>
          <w:rFonts w:ascii="Times New Roman" w:hAnsi="Times New Roman" w:cs="Times New Roman"/>
          <w:color w:val="222222"/>
          <w:sz w:val="24"/>
          <w:szCs w:val="24"/>
          <w:shd w:val="clear" w:color="auto" w:fill="FFFFFF"/>
        </w:rPr>
        <w:t xml:space="preserve">and rationalised </w:t>
      </w:r>
      <w:r w:rsidR="00B628E4" w:rsidRPr="0043224D">
        <w:rPr>
          <w:rFonts w:ascii="Times New Roman" w:hAnsi="Times New Roman" w:cs="Times New Roman"/>
          <w:color w:val="222222"/>
          <w:sz w:val="24"/>
          <w:szCs w:val="24"/>
          <w:shd w:val="clear" w:color="auto" w:fill="FFFFFF"/>
        </w:rPr>
        <w:t xml:space="preserve">in </w:t>
      </w:r>
      <w:r w:rsidR="002213F4" w:rsidRPr="0043224D">
        <w:rPr>
          <w:rFonts w:ascii="Times New Roman" w:hAnsi="Times New Roman" w:cs="Times New Roman"/>
          <w:color w:val="222222"/>
          <w:sz w:val="24"/>
          <w:szCs w:val="24"/>
          <w:shd w:val="clear" w:color="auto" w:fill="FFFFFF"/>
        </w:rPr>
        <w:t>the national interest</w:t>
      </w:r>
      <w:r w:rsidR="006C4E0C" w:rsidRPr="0043224D">
        <w:rPr>
          <w:rFonts w:ascii="Times New Roman" w:hAnsi="Times New Roman" w:cs="Times New Roman"/>
          <w:color w:val="222222"/>
          <w:sz w:val="24"/>
          <w:szCs w:val="24"/>
          <w:shd w:val="clear" w:color="auto" w:fill="FFFFFF"/>
        </w:rPr>
        <w:t>.</w:t>
      </w:r>
      <w:r w:rsidR="002213F4" w:rsidRPr="0043224D">
        <w:rPr>
          <w:rFonts w:ascii="Times New Roman" w:hAnsi="Times New Roman" w:cs="Times New Roman"/>
          <w:color w:val="222222"/>
          <w:sz w:val="24"/>
          <w:szCs w:val="24"/>
          <w:shd w:val="clear" w:color="auto" w:fill="FFFFFF"/>
        </w:rPr>
        <w:t xml:space="preserve"> </w:t>
      </w:r>
      <w:r w:rsidR="007D31F9">
        <w:rPr>
          <w:rFonts w:ascii="Times New Roman" w:hAnsi="Times New Roman" w:cs="Times New Roman"/>
          <w:sz w:val="24"/>
          <w:szCs w:val="24"/>
        </w:rPr>
        <w:t>Accordingly,</w:t>
      </w:r>
      <w:r w:rsidR="007D31F9" w:rsidRPr="0043224D">
        <w:rPr>
          <w:rFonts w:ascii="Times New Roman" w:hAnsi="Times New Roman" w:cs="Times New Roman"/>
          <w:sz w:val="24"/>
          <w:szCs w:val="24"/>
        </w:rPr>
        <w:t xml:space="preserve"> the</w:t>
      </w:r>
      <w:r w:rsidR="002E4D38" w:rsidRPr="0043224D">
        <w:rPr>
          <w:rFonts w:ascii="Times New Roman" w:hAnsi="Times New Roman" w:cs="Times New Roman"/>
          <w:sz w:val="24"/>
          <w:szCs w:val="24"/>
        </w:rPr>
        <w:t xml:space="preserve"> national interest of states in development and their</w:t>
      </w:r>
      <w:r w:rsidR="006C4E0C" w:rsidRPr="0043224D">
        <w:rPr>
          <w:rFonts w:ascii="Times New Roman" w:hAnsi="Times New Roman" w:cs="Times New Roman"/>
          <w:sz w:val="24"/>
          <w:szCs w:val="24"/>
        </w:rPr>
        <w:t xml:space="preserve"> exclusive</w:t>
      </w:r>
      <w:r w:rsidR="002E4D38" w:rsidRPr="0043224D">
        <w:rPr>
          <w:rFonts w:ascii="Times New Roman" w:hAnsi="Times New Roman" w:cs="Times New Roman"/>
          <w:sz w:val="24"/>
          <w:szCs w:val="24"/>
        </w:rPr>
        <w:t xml:space="preserve"> sovereignty over natural resources are often invoked to rationalise any deprivation of indigenous peoples that ac</w:t>
      </w:r>
      <w:r w:rsidR="00F60BB5" w:rsidRPr="0043224D">
        <w:rPr>
          <w:rFonts w:ascii="Times New Roman" w:hAnsi="Times New Roman" w:cs="Times New Roman"/>
          <w:sz w:val="24"/>
          <w:szCs w:val="24"/>
        </w:rPr>
        <w:t>companies development projects.</w:t>
      </w:r>
      <w:r w:rsidR="00775BB2" w:rsidRPr="0043224D">
        <w:rPr>
          <w:rStyle w:val="FootnoteReference"/>
          <w:rFonts w:ascii="Times New Roman" w:hAnsi="Times New Roman" w:cs="Times New Roman"/>
          <w:sz w:val="24"/>
          <w:szCs w:val="24"/>
        </w:rPr>
        <w:footnoteReference w:id="55"/>
      </w:r>
    </w:p>
    <w:p w:rsidR="005C2006" w:rsidRPr="00254C2D" w:rsidRDefault="001066E8" w:rsidP="0043224D">
      <w:pPr>
        <w:pStyle w:val="Heading3"/>
        <w:spacing w:line="360" w:lineRule="auto"/>
      </w:pPr>
      <w:bookmarkStart w:id="19" w:name="_Toc399848352"/>
      <w:r>
        <w:t>3.1.1</w:t>
      </w:r>
      <w:r w:rsidR="00063B79">
        <w:t xml:space="preserve"> What is meant by</w:t>
      </w:r>
      <w:r>
        <w:t xml:space="preserve"> the “Development Imperative”?</w:t>
      </w:r>
      <w:r>
        <w:rPr>
          <w:rStyle w:val="FootnoteReference"/>
          <w:rFonts w:cs="Times New Roman"/>
          <w:szCs w:val="28"/>
        </w:rPr>
        <w:footnoteReference w:id="56"/>
      </w:r>
      <w:bookmarkEnd w:id="19"/>
      <w:r w:rsidR="00063B79">
        <w:t xml:space="preserve"> </w:t>
      </w:r>
    </w:p>
    <w:p w:rsidR="00716E17" w:rsidRPr="0043224D" w:rsidRDefault="0008018E"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Development as an overarching</w:t>
      </w:r>
      <w:r w:rsidR="00C31F39" w:rsidRPr="0043224D">
        <w:rPr>
          <w:rFonts w:ascii="Times New Roman" w:hAnsi="Times New Roman" w:cs="Times New Roman"/>
          <w:sz w:val="24"/>
          <w:szCs w:val="24"/>
        </w:rPr>
        <w:t xml:space="preserve"> and normative</w:t>
      </w:r>
      <w:r w:rsidRPr="0043224D">
        <w:rPr>
          <w:rFonts w:ascii="Times New Roman" w:hAnsi="Times New Roman" w:cs="Times New Roman"/>
          <w:sz w:val="24"/>
          <w:szCs w:val="24"/>
        </w:rPr>
        <w:t xml:space="preserve"> concept is difficult to accura</w:t>
      </w:r>
      <w:r w:rsidR="00C31F39" w:rsidRPr="0043224D">
        <w:rPr>
          <w:rFonts w:ascii="Times New Roman" w:hAnsi="Times New Roman" w:cs="Times New Roman"/>
          <w:sz w:val="24"/>
          <w:szCs w:val="24"/>
        </w:rPr>
        <w:t>tely define.</w:t>
      </w:r>
      <w:r w:rsidRPr="0043224D">
        <w:rPr>
          <w:rFonts w:ascii="Times New Roman" w:hAnsi="Times New Roman" w:cs="Times New Roman"/>
          <w:sz w:val="24"/>
          <w:szCs w:val="24"/>
        </w:rPr>
        <w:t xml:space="preserve"> </w:t>
      </w:r>
      <w:r w:rsidR="00C31F39" w:rsidRPr="0043224D">
        <w:rPr>
          <w:rFonts w:ascii="Times New Roman" w:hAnsi="Times New Roman" w:cs="Times New Roman"/>
          <w:sz w:val="24"/>
          <w:szCs w:val="24"/>
        </w:rPr>
        <w:t>It</w:t>
      </w:r>
      <w:r w:rsidRPr="0043224D">
        <w:rPr>
          <w:rFonts w:ascii="Times New Roman" w:hAnsi="Times New Roman" w:cs="Times New Roman"/>
          <w:sz w:val="24"/>
          <w:szCs w:val="24"/>
        </w:rPr>
        <w:t xml:space="preserve"> has </w:t>
      </w:r>
      <w:r w:rsidR="00193158" w:rsidRPr="0043224D">
        <w:rPr>
          <w:rFonts w:ascii="Times New Roman" w:hAnsi="Times New Roman" w:cs="Times New Roman"/>
          <w:sz w:val="24"/>
          <w:szCs w:val="24"/>
        </w:rPr>
        <w:t xml:space="preserve">as </w:t>
      </w:r>
      <w:r w:rsidRPr="0043224D">
        <w:rPr>
          <w:rFonts w:ascii="Times New Roman" w:hAnsi="Times New Roman" w:cs="Times New Roman"/>
          <w:sz w:val="24"/>
          <w:szCs w:val="24"/>
        </w:rPr>
        <w:t>many layers of meaning</w:t>
      </w:r>
      <w:r w:rsidR="005C2006" w:rsidRPr="0043224D">
        <w:rPr>
          <w:rFonts w:ascii="Times New Roman" w:hAnsi="Times New Roman" w:cs="Times New Roman"/>
          <w:sz w:val="24"/>
          <w:szCs w:val="24"/>
        </w:rPr>
        <w:t xml:space="preserve"> as it has definitions</w:t>
      </w:r>
      <w:r w:rsidRPr="0043224D">
        <w:rPr>
          <w:rFonts w:ascii="Times New Roman" w:hAnsi="Times New Roman" w:cs="Times New Roman"/>
          <w:sz w:val="24"/>
          <w:szCs w:val="24"/>
        </w:rPr>
        <w:t>, both in its inception, in its processes</w:t>
      </w:r>
      <w:r w:rsidR="00063B79" w:rsidRPr="0043224D">
        <w:rPr>
          <w:rFonts w:ascii="Times New Roman" w:hAnsi="Times New Roman" w:cs="Times New Roman"/>
          <w:sz w:val="24"/>
          <w:szCs w:val="24"/>
        </w:rPr>
        <w:t>,</w:t>
      </w:r>
      <w:r w:rsidRPr="0043224D">
        <w:rPr>
          <w:rFonts w:ascii="Times New Roman" w:hAnsi="Times New Roman" w:cs="Times New Roman"/>
          <w:sz w:val="24"/>
          <w:szCs w:val="24"/>
        </w:rPr>
        <w:t xml:space="preserve"> and in its outcomes. </w:t>
      </w:r>
      <w:r w:rsidR="00F31998" w:rsidRPr="0043224D">
        <w:rPr>
          <w:rFonts w:ascii="Times New Roman" w:hAnsi="Times New Roman" w:cs="Times New Roman"/>
          <w:sz w:val="24"/>
          <w:szCs w:val="24"/>
        </w:rPr>
        <w:t>There are many competing</w:t>
      </w:r>
      <w:r w:rsidR="005C6E98" w:rsidRPr="0043224D">
        <w:rPr>
          <w:rFonts w:ascii="Times New Roman" w:hAnsi="Times New Roman" w:cs="Times New Roman"/>
          <w:sz w:val="24"/>
          <w:szCs w:val="24"/>
        </w:rPr>
        <w:t xml:space="preserve"> theoretical and applied models;</w:t>
      </w:r>
      <w:r w:rsidR="00F31998" w:rsidRPr="0043224D">
        <w:rPr>
          <w:rFonts w:ascii="Times New Roman" w:hAnsi="Times New Roman" w:cs="Times New Roman"/>
          <w:sz w:val="24"/>
          <w:szCs w:val="24"/>
        </w:rPr>
        <w:t xml:space="preserve"> from</w:t>
      </w:r>
      <w:r w:rsidR="00063B79" w:rsidRPr="0043224D">
        <w:rPr>
          <w:rFonts w:ascii="Times New Roman" w:hAnsi="Times New Roman" w:cs="Times New Roman"/>
          <w:sz w:val="24"/>
          <w:szCs w:val="24"/>
        </w:rPr>
        <w:t xml:space="preserve"> the former</w:t>
      </w:r>
      <w:r w:rsidR="00F31998" w:rsidRPr="0043224D">
        <w:rPr>
          <w:rFonts w:ascii="Times New Roman" w:hAnsi="Times New Roman" w:cs="Times New Roman"/>
          <w:sz w:val="24"/>
          <w:szCs w:val="24"/>
        </w:rPr>
        <w:t xml:space="preserve"> Soviet Russia’s command economics</w:t>
      </w:r>
      <w:r w:rsidR="00063B79" w:rsidRPr="0043224D">
        <w:rPr>
          <w:rFonts w:ascii="Times New Roman" w:hAnsi="Times New Roman" w:cs="Times New Roman"/>
          <w:sz w:val="24"/>
          <w:szCs w:val="24"/>
        </w:rPr>
        <w:t>, social democratic</w:t>
      </w:r>
      <w:r w:rsidR="00E34299" w:rsidRPr="0043224D">
        <w:rPr>
          <w:rFonts w:ascii="Times New Roman" w:hAnsi="Times New Roman" w:cs="Times New Roman"/>
          <w:sz w:val="24"/>
          <w:szCs w:val="24"/>
        </w:rPr>
        <w:t xml:space="preserve"> models</w:t>
      </w:r>
      <w:r w:rsidR="00063B79" w:rsidRPr="0043224D">
        <w:rPr>
          <w:rFonts w:ascii="Times New Roman" w:hAnsi="Times New Roman" w:cs="Times New Roman"/>
          <w:sz w:val="24"/>
          <w:szCs w:val="24"/>
        </w:rPr>
        <w:t xml:space="preserve"> in Western Europe,</w:t>
      </w:r>
      <w:r w:rsidR="00716E17" w:rsidRPr="0043224D">
        <w:rPr>
          <w:rFonts w:ascii="Times New Roman" w:hAnsi="Times New Roman" w:cs="Times New Roman"/>
          <w:sz w:val="24"/>
          <w:szCs w:val="24"/>
        </w:rPr>
        <w:t xml:space="preserve"> to</w:t>
      </w:r>
      <w:r w:rsidR="007D31F9">
        <w:rPr>
          <w:rFonts w:ascii="Times New Roman" w:hAnsi="Times New Roman" w:cs="Times New Roman"/>
          <w:sz w:val="24"/>
          <w:szCs w:val="24"/>
        </w:rPr>
        <w:t xml:space="preserve"> the ideas of</w:t>
      </w:r>
      <w:r w:rsidR="00716E17" w:rsidRPr="0043224D">
        <w:rPr>
          <w:rFonts w:ascii="Times New Roman" w:hAnsi="Times New Roman" w:cs="Times New Roman"/>
          <w:sz w:val="24"/>
          <w:szCs w:val="24"/>
        </w:rPr>
        <w:t xml:space="preserve"> </w:t>
      </w:r>
      <w:r w:rsidR="00063B79" w:rsidRPr="0043224D">
        <w:rPr>
          <w:rFonts w:ascii="Times New Roman" w:hAnsi="Times New Roman" w:cs="Times New Roman"/>
          <w:sz w:val="24"/>
          <w:szCs w:val="24"/>
        </w:rPr>
        <w:t xml:space="preserve">key theorists such as </w:t>
      </w:r>
      <w:r w:rsidR="00716E17" w:rsidRPr="0043224D">
        <w:rPr>
          <w:rFonts w:ascii="Times New Roman" w:hAnsi="Times New Roman" w:cs="Times New Roman"/>
          <w:sz w:val="24"/>
          <w:szCs w:val="24"/>
        </w:rPr>
        <w:t>Amartya Sen</w:t>
      </w:r>
      <w:r w:rsidR="00E34299" w:rsidRPr="0043224D">
        <w:rPr>
          <w:rFonts w:ascii="Times New Roman" w:hAnsi="Times New Roman" w:cs="Times New Roman"/>
          <w:sz w:val="24"/>
          <w:szCs w:val="24"/>
        </w:rPr>
        <w:t>.</w:t>
      </w:r>
      <w:r w:rsidR="00063B79" w:rsidRPr="0043224D">
        <w:rPr>
          <w:rFonts w:ascii="Times New Roman" w:hAnsi="Times New Roman" w:cs="Times New Roman"/>
          <w:sz w:val="24"/>
          <w:szCs w:val="24"/>
        </w:rPr>
        <w:t xml:space="preserve"> </w:t>
      </w:r>
      <w:r w:rsidR="00E34299" w:rsidRPr="0043224D">
        <w:rPr>
          <w:rFonts w:ascii="Times New Roman" w:hAnsi="Times New Roman" w:cs="Times New Roman"/>
          <w:sz w:val="24"/>
          <w:szCs w:val="24"/>
        </w:rPr>
        <w:t>Sen’s</w:t>
      </w:r>
      <w:r w:rsidR="00063B79" w:rsidRPr="0043224D">
        <w:rPr>
          <w:rFonts w:ascii="Times New Roman" w:hAnsi="Times New Roman" w:cs="Times New Roman"/>
          <w:sz w:val="24"/>
          <w:szCs w:val="24"/>
        </w:rPr>
        <w:t xml:space="preserve"> conceptual idea of </w:t>
      </w:r>
      <w:r w:rsidR="00312C72" w:rsidRPr="0043224D">
        <w:rPr>
          <w:rFonts w:ascii="Times New Roman" w:hAnsi="Times New Roman" w:cs="Times New Roman"/>
          <w:i/>
          <w:sz w:val="24"/>
          <w:szCs w:val="24"/>
        </w:rPr>
        <w:t>D</w:t>
      </w:r>
      <w:r w:rsidR="00716E17" w:rsidRPr="0043224D">
        <w:rPr>
          <w:rFonts w:ascii="Times New Roman" w:hAnsi="Times New Roman" w:cs="Times New Roman"/>
          <w:i/>
          <w:sz w:val="24"/>
          <w:szCs w:val="24"/>
        </w:rPr>
        <w:t xml:space="preserve">evelopment as </w:t>
      </w:r>
      <w:r w:rsidR="00312C72" w:rsidRPr="0043224D">
        <w:rPr>
          <w:rFonts w:ascii="Times New Roman" w:hAnsi="Times New Roman" w:cs="Times New Roman"/>
          <w:i/>
          <w:sz w:val="24"/>
          <w:szCs w:val="24"/>
        </w:rPr>
        <w:t>F</w:t>
      </w:r>
      <w:r w:rsidR="00716E17" w:rsidRPr="0043224D">
        <w:rPr>
          <w:rFonts w:ascii="Times New Roman" w:hAnsi="Times New Roman" w:cs="Times New Roman"/>
          <w:i/>
          <w:sz w:val="24"/>
          <w:szCs w:val="24"/>
        </w:rPr>
        <w:t>reedom</w:t>
      </w:r>
      <w:r w:rsidR="00C31F39" w:rsidRPr="0043224D">
        <w:rPr>
          <w:rFonts w:ascii="Times New Roman" w:hAnsi="Times New Roman" w:cs="Times New Roman"/>
          <w:i/>
          <w:sz w:val="24"/>
          <w:szCs w:val="24"/>
        </w:rPr>
        <w:t xml:space="preserve"> </w:t>
      </w:r>
      <w:r w:rsidR="00C31F39" w:rsidRPr="0043224D">
        <w:rPr>
          <w:rFonts w:ascii="Times New Roman" w:hAnsi="Times New Roman" w:cs="Times New Roman"/>
          <w:sz w:val="24"/>
          <w:szCs w:val="24"/>
        </w:rPr>
        <w:t>for instance</w:t>
      </w:r>
      <w:r w:rsidR="00E34299" w:rsidRPr="0043224D">
        <w:rPr>
          <w:rFonts w:ascii="Times New Roman" w:hAnsi="Times New Roman" w:cs="Times New Roman"/>
          <w:sz w:val="24"/>
          <w:szCs w:val="24"/>
        </w:rPr>
        <w:t xml:space="preserve"> posits that for developm</w:t>
      </w:r>
      <w:r w:rsidR="00553854" w:rsidRPr="0043224D">
        <w:rPr>
          <w:rFonts w:ascii="Times New Roman" w:hAnsi="Times New Roman" w:cs="Times New Roman"/>
          <w:sz w:val="24"/>
          <w:szCs w:val="24"/>
        </w:rPr>
        <w:t>ent to be truly transformative</w:t>
      </w:r>
      <w:r w:rsidR="00716E17" w:rsidRPr="0043224D">
        <w:rPr>
          <w:rFonts w:ascii="Times New Roman" w:hAnsi="Times New Roman" w:cs="Times New Roman"/>
          <w:sz w:val="24"/>
          <w:szCs w:val="24"/>
        </w:rPr>
        <w:t xml:space="preserve"> </w:t>
      </w:r>
      <w:r w:rsidR="00E34299" w:rsidRPr="0043224D">
        <w:rPr>
          <w:rFonts w:ascii="Times New Roman" w:hAnsi="Times New Roman" w:cs="Times New Roman"/>
          <w:sz w:val="24"/>
          <w:szCs w:val="24"/>
        </w:rPr>
        <w:t xml:space="preserve">it must be </w:t>
      </w:r>
      <w:r w:rsidR="00716E17" w:rsidRPr="0043224D">
        <w:rPr>
          <w:rFonts w:ascii="Times New Roman" w:hAnsi="Times New Roman" w:cs="Times New Roman"/>
          <w:sz w:val="24"/>
          <w:szCs w:val="24"/>
        </w:rPr>
        <w:t>conceived in human terms</w:t>
      </w:r>
      <w:r w:rsidR="00E34299" w:rsidRPr="0043224D">
        <w:rPr>
          <w:rFonts w:ascii="Times New Roman" w:hAnsi="Times New Roman" w:cs="Times New Roman"/>
          <w:sz w:val="24"/>
          <w:szCs w:val="24"/>
        </w:rPr>
        <w:t>,</w:t>
      </w:r>
      <w:r w:rsidR="00716E17" w:rsidRPr="0043224D">
        <w:rPr>
          <w:rFonts w:ascii="Times New Roman" w:hAnsi="Times New Roman" w:cs="Times New Roman"/>
          <w:sz w:val="24"/>
          <w:szCs w:val="24"/>
        </w:rPr>
        <w:t xml:space="preserve"> </w:t>
      </w:r>
      <w:r w:rsidR="00E34299" w:rsidRPr="0043224D">
        <w:rPr>
          <w:rFonts w:ascii="Times New Roman" w:hAnsi="Times New Roman" w:cs="Times New Roman"/>
          <w:sz w:val="24"/>
          <w:szCs w:val="24"/>
        </w:rPr>
        <w:t>“</w:t>
      </w:r>
      <w:r w:rsidR="00716E17" w:rsidRPr="0043224D">
        <w:rPr>
          <w:rFonts w:ascii="Times New Roman" w:hAnsi="Times New Roman" w:cs="Times New Roman"/>
          <w:sz w:val="24"/>
          <w:szCs w:val="24"/>
        </w:rPr>
        <w:t>as a</w:t>
      </w:r>
      <w:r w:rsidR="00E34299" w:rsidRPr="0043224D">
        <w:rPr>
          <w:rFonts w:ascii="Times New Roman" w:hAnsi="Times New Roman" w:cs="Times New Roman"/>
          <w:sz w:val="24"/>
          <w:szCs w:val="24"/>
        </w:rPr>
        <w:t xml:space="preserve"> </w:t>
      </w:r>
      <w:r w:rsidR="005C6E98" w:rsidRPr="0043224D">
        <w:rPr>
          <w:rFonts w:ascii="Times New Roman" w:hAnsi="Times New Roman" w:cs="Times New Roman"/>
          <w:sz w:val="24"/>
          <w:szCs w:val="24"/>
        </w:rPr>
        <w:t>process</w:t>
      </w:r>
      <w:r w:rsidR="00716E17" w:rsidRPr="0043224D">
        <w:rPr>
          <w:rFonts w:ascii="Times New Roman" w:hAnsi="Times New Roman" w:cs="Times New Roman"/>
          <w:sz w:val="24"/>
          <w:szCs w:val="24"/>
        </w:rPr>
        <w:t xml:space="preserve"> that expands r</w:t>
      </w:r>
      <w:r w:rsidR="00E34299" w:rsidRPr="0043224D">
        <w:rPr>
          <w:rFonts w:ascii="Times New Roman" w:hAnsi="Times New Roman" w:cs="Times New Roman"/>
          <w:sz w:val="24"/>
          <w:szCs w:val="24"/>
        </w:rPr>
        <w:t>e</w:t>
      </w:r>
      <w:r w:rsidR="00553854" w:rsidRPr="0043224D">
        <w:rPr>
          <w:rFonts w:ascii="Times New Roman" w:hAnsi="Times New Roman" w:cs="Times New Roman"/>
          <w:sz w:val="24"/>
          <w:szCs w:val="24"/>
        </w:rPr>
        <w:t>al freedoms that people enjoy.”</w:t>
      </w:r>
      <w:r w:rsidR="00716E17" w:rsidRPr="0043224D">
        <w:rPr>
          <w:rStyle w:val="FootnoteReference"/>
          <w:rFonts w:ascii="Times New Roman" w:hAnsi="Times New Roman" w:cs="Times New Roman"/>
          <w:sz w:val="24"/>
          <w:szCs w:val="24"/>
        </w:rPr>
        <w:footnoteReference w:id="57"/>
      </w:r>
      <w:r w:rsidR="00716E17" w:rsidRPr="0043224D">
        <w:rPr>
          <w:rFonts w:ascii="Times New Roman" w:hAnsi="Times New Roman" w:cs="Times New Roman"/>
          <w:sz w:val="24"/>
          <w:szCs w:val="24"/>
        </w:rPr>
        <w:t xml:space="preserve">    </w:t>
      </w:r>
    </w:p>
    <w:p w:rsidR="004A0BB2" w:rsidRPr="0043224D" w:rsidRDefault="00793F5D"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For the purposes of this thesis</w:t>
      </w:r>
      <w:r w:rsidR="00415A9B" w:rsidRPr="0043224D">
        <w:rPr>
          <w:rFonts w:ascii="Times New Roman" w:hAnsi="Times New Roman" w:cs="Times New Roman"/>
          <w:sz w:val="24"/>
          <w:szCs w:val="24"/>
        </w:rPr>
        <w:t xml:space="preserve"> however</w:t>
      </w:r>
      <w:r w:rsidRPr="0043224D">
        <w:rPr>
          <w:rFonts w:ascii="Times New Roman" w:hAnsi="Times New Roman" w:cs="Times New Roman"/>
          <w:sz w:val="24"/>
          <w:szCs w:val="24"/>
        </w:rPr>
        <w:t>, development</w:t>
      </w:r>
      <w:r w:rsidR="00BB5B14" w:rsidRPr="0043224D">
        <w:rPr>
          <w:rFonts w:ascii="Times New Roman" w:hAnsi="Times New Roman" w:cs="Times New Roman"/>
          <w:sz w:val="24"/>
          <w:szCs w:val="24"/>
        </w:rPr>
        <w:t xml:space="preserve"> as it is widely understood and practised</w:t>
      </w:r>
      <w:r w:rsidRPr="0043224D">
        <w:rPr>
          <w:rFonts w:ascii="Times New Roman" w:hAnsi="Times New Roman" w:cs="Times New Roman"/>
          <w:sz w:val="24"/>
          <w:szCs w:val="24"/>
        </w:rPr>
        <w:t xml:space="preserve"> </w:t>
      </w:r>
      <w:r w:rsidR="00C31F39" w:rsidRPr="0043224D">
        <w:rPr>
          <w:rFonts w:ascii="Times New Roman" w:hAnsi="Times New Roman" w:cs="Times New Roman"/>
          <w:sz w:val="24"/>
          <w:szCs w:val="24"/>
        </w:rPr>
        <w:t xml:space="preserve">presently </w:t>
      </w:r>
      <w:r w:rsidR="00C519DA" w:rsidRPr="0043224D">
        <w:rPr>
          <w:rFonts w:ascii="Times New Roman" w:hAnsi="Times New Roman" w:cs="Times New Roman"/>
          <w:sz w:val="24"/>
          <w:szCs w:val="24"/>
        </w:rPr>
        <w:t>denote</w:t>
      </w:r>
      <w:r w:rsidR="009C4A04" w:rsidRPr="0043224D">
        <w:rPr>
          <w:rFonts w:ascii="Times New Roman" w:hAnsi="Times New Roman" w:cs="Times New Roman"/>
          <w:sz w:val="24"/>
          <w:szCs w:val="24"/>
        </w:rPr>
        <w:t>s</w:t>
      </w:r>
      <w:r w:rsidR="001665D6" w:rsidRPr="0043224D">
        <w:rPr>
          <w:rFonts w:ascii="Times New Roman" w:hAnsi="Times New Roman" w:cs="Times New Roman"/>
          <w:sz w:val="24"/>
          <w:szCs w:val="24"/>
        </w:rPr>
        <w:t xml:space="preserve"> global economic</w:t>
      </w:r>
      <w:r w:rsidR="009C4A04" w:rsidRPr="0043224D">
        <w:rPr>
          <w:rFonts w:ascii="Times New Roman" w:hAnsi="Times New Roman" w:cs="Times New Roman"/>
          <w:sz w:val="24"/>
          <w:szCs w:val="24"/>
        </w:rPr>
        <w:t xml:space="preserve"> </w:t>
      </w:r>
      <w:r w:rsidR="00193158" w:rsidRPr="0043224D">
        <w:rPr>
          <w:rFonts w:ascii="Times New Roman" w:hAnsi="Times New Roman" w:cs="Times New Roman"/>
          <w:sz w:val="24"/>
          <w:szCs w:val="24"/>
        </w:rPr>
        <w:t>neo-liberalism.</w:t>
      </w:r>
      <w:r w:rsidR="0079389F" w:rsidRPr="0043224D">
        <w:rPr>
          <w:rFonts w:ascii="Times New Roman" w:hAnsi="Times New Roman" w:cs="Times New Roman"/>
          <w:sz w:val="24"/>
          <w:szCs w:val="24"/>
        </w:rPr>
        <w:t xml:space="preserve"> Namely</w:t>
      </w:r>
      <w:r w:rsidR="009C4A04" w:rsidRPr="0043224D">
        <w:rPr>
          <w:rFonts w:ascii="Times New Roman" w:hAnsi="Times New Roman" w:cs="Times New Roman"/>
          <w:sz w:val="24"/>
          <w:szCs w:val="24"/>
        </w:rPr>
        <w:t xml:space="preserve">, </w:t>
      </w:r>
      <w:r w:rsidR="005C2006" w:rsidRPr="0043224D">
        <w:rPr>
          <w:rFonts w:ascii="Times New Roman" w:hAnsi="Times New Roman" w:cs="Times New Roman"/>
          <w:sz w:val="24"/>
          <w:szCs w:val="24"/>
        </w:rPr>
        <w:t>the privileging of</w:t>
      </w:r>
      <w:r w:rsidR="00063B79" w:rsidRPr="0043224D">
        <w:rPr>
          <w:rFonts w:ascii="Times New Roman" w:hAnsi="Times New Roman" w:cs="Times New Roman"/>
          <w:sz w:val="24"/>
          <w:szCs w:val="24"/>
        </w:rPr>
        <w:t xml:space="preserve"> the</w:t>
      </w:r>
      <w:r w:rsidR="005C2006" w:rsidRPr="0043224D">
        <w:rPr>
          <w:rFonts w:ascii="Times New Roman" w:hAnsi="Times New Roman" w:cs="Times New Roman"/>
          <w:sz w:val="24"/>
          <w:szCs w:val="24"/>
        </w:rPr>
        <w:t xml:space="preserve"> market</w:t>
      </w:r>
      <w:r w:rsidR="00063B79" w:rsidRPr="0043224D">
        <w:rPr>
          <w:rFonts w:ascii="Times New Roman" w:hAnsi="Times New Roman" w:cs="Times New Roman"/>
          <w:sz w:val="24"/>
          <w:szCs w:val="24"/>
        </w:rPr>
        <w:t xml:space="preserve"> economy</w:t>
      </w:r>
      <w:r w:rsidR="009C4A04" w:rsidRPr="0043224D">
        <w:rPr>
          <w:rFonts w:ascii="Times New Roman" w:hAnsi="Times New Roman" w:cs="Times New Roman"/>
          <w:sz w:val="24"/>
          <w:szCs w:val="24"/>
        </w:rPr>
        <w:t xml:space="preserve"> and </w:t>
      </w:r>
      <w:r w:rsidR="005C2006" w:rsidRPr="0043224D">
        <w:rPr>
          <w:rFonts w:ascii="Times New Roman" w:hAnsi="Times New Roman" w:cs="Times New Roman"/>
          <w:sz w:val="24"/>
          <w:szCs w:val="24"/>
        </w:rPr>
        <w:t>private property rights,</w:t>
      </w:r>
      <w:r w:rsidR="00415A9B" w:rsidRPr="0043224D">
        <w:rPr>
          <w:rFonts w:ascii="Times New Roman" w:hAnsi="Times New Roman" w:cs="Times New Roman"/>
          <w:sz w:val="24"/>
          <w:szCs w:val="24"/>
        </w:rPr>
        <w:t xml:space="preserve"> </w:t>
      </w:r>
      <w:r w:rsidR="003159A6" w:rsidRPr="0043224D">
        <w:rPr>
          <w:rFonts w:ascii="Times New Roman" w:hAnsi="Times New Roman" w:cs="Times New Roman"/>
          <w:sz w:val="24"/>
          <w:szCs w:val="24"/>
        </w:rPr>
        <w:t xml:space="preserve">the freeing up of the international trade in goods and services, </w:t>
      </w:r>
      <w:r w:rsidR="00C968F7">
        <w:rPr>
          <w:rFonts w:ascii="Times New Roman" w:hAnsi="Times New Roman" w:cs="Times New Roman"/>
          <w:sz w:val="24"/>
          <w:szCs w:val="24"/>
        </w:rPr>
        <w:t xml:space="preserve">the liberalising of investor rights, </w:t>
      </w:r>
      <w:r w:rsidR="003159A6" w:rsidRPr="0043224D">
        <w:rPr>
          <w:rFonts w:ascii="Times New Roman" w:hAnsi="Times New Roman" w:cs="Times New Roman"/>
          <w:sz w:val="24"/>
          <w:szCs w:val="24"/>
        </w:rPr>
        <w:t xml:space="preserve">and the </w:t>
      </w:r>
      <w:r w:rsidR="00B021CF" w:rsidRPr="0043224D">
        <w:rPr>
          <w:rFonts w:ascii="Times New Roman" w:hAnsi="Times New Roman" w:cs="Times New Roman"/>
          <w:sz w:val="24"/>
          <w:szCs w:val="24"/>
        </w:rPr>
        <w:t>deregulation</w:t>
      </w:r>
      <w:r w:rsidR="003159A6" w:rsidRPr="0043224D">
        <w:rPr>
          <w:rFonts w:ascii="Times New Roman" w:hAnsi="Times New Roman" w:cs="Times New Roman"/>
          <w:sz w:val="24"/>
          <w:szCs w:val="24"/>
        </w:rPr>
        <w:t xml:space="preserve"> of international financial flows</w:t>
      </w:r>
      <w:r w:rsidR="00193158" w:rsidRPr="0043224D">
        <w:rPr>
          <w:rFonts w:ascii="Times New Roman" w:hAnsi="Times New Roman" w:cs="Times New Roman"/>
          <w:sz w:val="24"/>
          <w:szCs w:val="24"/>
        </w:rPr>
        <w:t>, amongst other things.</w:t>
      </w:r>
      <w:r w:rsidR="005729CD" w:rsidRPr="0043224D">
        <w:rPr>
          <w:rStyle w:val="FootnoteReference"/>
          <w:rFonts w:ascii="Times New Roman" w:hAnsi="Times New Roman" w:cs="Times New Roman"/>
          <w:sz w:val="24"/>
          <w:szCs w:val="24"/>
        </w:rPr>
        <w:footnoteReference w:id="58"/>
      </w:r>
      <w:r w:rsidR="00193158" w:rsidRPr="0043224D">
        <w:rPr>
          <w:rFonts w:ascii="Times New Roman" w:hAnsi="Times New Roman" w:cs="Times New Roman"/>
          <w:sz w:val="24"/>
          <w:szCs w:val="24"/>
        </w:rPr>
        <w:t xml:space="preserve"> It is </w:t>
      </w:r>
      <w:r w:rsidR="003159A6" w:rsidRPr="0043224D">
        <w:rPr>
          <w:rFonts w:ascii="Times New Roman" w:hAnsi="Times New Roman" w:cs="Times New Roman"/>
          <w:sz w:val="24"/>
          <w:szCs w:val="24"/>
        </w:rPr>
        <w:t xml:space="preserve">a </w:t>
      </w:r>
      <w:r w:rsidR="009C4A04" w:rsidRPr="0043224D">
        <w:rPr>
          <w:rFonts w:ascii="Times New Roman" w:hAnsi="Times New Roman" w:cs="Times New Roman"/>
          <w:sz w:val="24"/>
          <w:szCs w:val="24"/>
        </w:rPr>
        <w:t xml:space="preserve">macro-economic </w:t>
      </w:r>
      <w:r w:rsidR="003E0682" w:rsidRPr="0043224D">
        <w:rPr>
          <w:rFonts w:ascii="Times New Roman" w:hAnsi="Times New Roman" w:cs="Times New Roman"/>
          <w:sz w:val="24"/>
          <w:szCs w:val="24"/>
        </w:rPr>
        <w:t>trend</w:t>
      </w:r>
      <w:r w:rsidR="009C4A04" w:rsidRPr="0043224D">
        <w:rPr>
          <w:rFonts w:ascii="Times New Roman" w:hAnsi="Times New Roman" w:cs="Times New Roman"/>
          <w:sz w:val="24"/>
          <w:szCs w:val="24"/>
        </w:rPr>
        <w:t xml:space="preserve"> that is</w:t>
      </w:r>
      <w:r w:rsidR="00177B38" w:rsidRPr="0043224D">
        <w:rPr>
          <w:rFonts w:ascii="Times New Roman" w:hAnsi="Times New Roman" w:cs="Times New Roman"/>
          <w:sz w:val="24"/>
          <w:szCs w:val="24"/>
        </w:rPr>
        <w:t xml:space="preserve"> transnational in character</w:t>
      </w:r>
      <w:r w:rsidR="00C968F7">
        <w:rPr>
          <w:rFonts w:ascii="Times New Roman" w:hAnsi="Times New Roman" w:cs="Times New Roman"/>
          <w:sz w:val="24"/>
          <w:szCs w:val="24"/>
        </w:rPr>
        <w:t xml:space="preserve"> and</w:t>
      </w:r>
      <w:r w:rsidR="00177B38" w:rsidRPr="0043224D">
        <w:rPr>
          <w:rFonts w:ascii="Times New Roman" w:hAnsi="Times New Roman" w:cs="Times New Roman"/>
          <w:sz w:val="24"/>
          <w:szCs w:val="24"/>
        </w:rPr>
        <w:t xml:space="preserve"> </w:t>
      </w:r>
      <w:r w:rsidR="003E0682" w:rsidRPr="0043224D">
        <w:rPr>
          <w:rFonts w:ascii="Times New Roman" w:hAnsi="Times New Roman" w:cs="Times New Roman"/>
          <w:sz w:val="24"/>
          <w:szCs w:val="24"/>
        </w:rPr>
        <w:t>which</w:t>
      </w:r>
      <w:r w:rsidR="005C2006" w:rsidRPr="0043224D">
        <w:rPr>
          <w:rFonts w:ascii="Times New Roman" w:hAnsi="Times New Roman" w:cs="Times New Roman"/>
          <w:sz w:val="24"/>
          <w:szCs w:val="24"/>
        </w:rPr>
        <w:t xml:space="preserve"> </w:t>
      </w:r>
      <w:r w:rsidR="00193158" w:rsidRPr="0043224D">
        <w:rPr>
          <w:rFonts w:ascii="Times New Roman" w:hAnsi="Times New Roman" w:cs="Times New Roman"/>
          <w:sz w:val="24"/>
          <w:szCs w:val="24"/>
        </w:rPr>
        <w:t xml:space="preserve">is by now commonly </w:t>
      </w:r>
      <w:r w:rsidR="00553854" w:rsidRPr="0043224D">
        <w:rPr>
          <w:rFonts w:ascii="Times New Roman" w:hAnsi="Times New Roman" w:cs="Times New Roman"/>
          <w:sz w:val="24"/>
          <w:szCs w:val="24"/>
        </w:rPr>
        <w:t>identified</w:t>
      </w:r>
      <w:r w:rsidR="003E0682" w:rsidRPr="0043224D">
        <w:rPr>
          <w:rFonts w:ascii="Times New Roman" w:hAnsi="Times New Roman" w:cs="Times New Roman"/>
          <w:sz w:val="24"/>
          <w:szCs w:val="24"/>
        </w:rPr>
        <w:t xml:space="preserve"> </w:t>
      </w:r>
      <w:r w:rsidR="005C2006" w:rsidRPr="0043224D">
        <w:rPr>
          <w:rFonts w:ascii="Times New Roman" w:hAnsi="Times New Roman" w:cs="Times New Roman"/>
          <w:sz w:val="24"/>
          <w:szCs w:val="24"/>
        </w:rPr>
        <w:t xml:space="preserve">as </w:t>
      </w:r>
      <w:r w:rsidR="004A0BB2" w:rsidRPr="0043224D">
        <w:rPr>
          <w:rFonts w:ascii="Times New Roman" w:hAnsi="Times New Roman" w:cs="Times New Roman"/>
          <w:sz w:val="24"/>
          <w:szCs w:val="24"/>
        </w:rPr>
        <w:t>g</w:t>
      </w:r>
      <w:r w:rsidR="005C2006" w:rsidRPr="0043224D">
        <w:rPr>
          <w:rFonts w:ascii="Times New Roman" w:hAnsi="Times New Roman" w:cs="Times New Roman"/>
          <w:sz w:val="24"/>
          <w:szCs w:val="24"/>
        </w:rPr>
        <w:t>lobalisation.</w:t>
      </w:r>
      <w:r w:rsidR="003159A6" w:rsidRPr="0043224D">
        <w:rPr>
          <w:rStyle w:val="FootnoteReference"/>
          <w:rFonts w:ascii="Times New Roman" w:hAnsi="Times New Roman" w:cs="Times New Roman"/>
          <w:sz w:val="24"/>
          <w:szCs w:val="24"/>
        </w:rPr>
        <w:footnoteReference w:id="59"/>
      </w:r>
      <w:r w:rsidR="00063B79" w:rsidRPr="0043224D">
        <w:rPr>
          <w:rFonts w:ascii="Times New Roman" w:hAnsi="Times New Roman" w:cs="Times New Roman"/>
          <w:sz w:val="24"/>
          <w:szCs w:val="24"/>
        </w:rPr>
        <w:t xml:space="preserve"> </w:t>
      </w:r>
      <w:r w:rsidR="00F31998" w:rsidRPr="0043224D">
        <w:rPr>
          <w:rFonts w:ascii="Times New Roman" w:hAnsi="Times New Roman" w:cs="Times New Roman"/>
          <w:sz w:val="24"/>
          <w:szCs w:val="24"/>
        </w:rPr>
        <w:t xml:space="preserve"> </w:t>
      </w:r>
      <w:r w:rsidR="004A0BB2" w:rsidRPr="0043224D">
        <w:rPr>
          <w:rFonts w:ascii="Times New Roman" w:hAnsi="Times New Roman" w:cs="Times New Roman"/>
          <w:sz w:val="24"/>
          <w:szCs w:val="24"/>
        </w:rPr>
        <w:t xml:space="preserve">In broad conceptual terms, Richard Falk describes </w:t>
      </w:r>
      <w:r w:rsidR="00C31F39" w:rsidRPr="0043224D">
        <w:rPr>
          <w:rFonts w:ascii="Times New Roman" w:hAnsi="Times New Roman" w:cs="Times New Roman"/>
          <w:sz w:val="24"/>
          <w:szCs w:val="24"/>
        </w:rPr>
        <w:t>these processes</w:t>
      </w:r>
      <w:r w:rsidR="004A0BB2" w:rsidRPr="0043224D">
        <w:rPr>
          <w:rFonts w:ascii="Times New Roman" w:hAnsi="Times New Roman" w:cs="Times New Roman"/>
          <w:sz w:val="24"/>
          <w:szCs w:val="24"/>
        </w:rPr>
        <w:t xml:space="preserve"> as underpinning the market driven logic of globalisation.</w:t>
      </w:r>
      <w:r w:rsidR="004A0BB2" w:rsidRPr="0043224D">
        <w:rPr>
          <w:rStyle w:val="FootnoteReference"/>
          <w:rFonts w:ascii="Times New Roman" w:hAnsi="Times New Roman" w:cs="Times New Roman"/>
          <w:sz w:val="24"/>
          <w:szCs w:val="24"/>
        </w:rPr>
        <w:footnoteReference w:id="60"/>
      </w:r>
      <w:r w:rsidR="004A0BB2" w:rsidRPr="0043224D">
        <w:rPr>
          <w:rFonts w:ascii="Times New Roman" w:hAnsi="Times New Roman" w:cs="Times New Roman"/>
          <w:sz w:val="24"/>
          <w:szCs w:val="24"/>
        </w:rPr>
        <w:t xml:space="preserve"> Further</w:t>
      </w:r>
      <w:r w:rsidR="008D5D72" w:rsidRPr="0043224D">
        <w:rPr>
          <w:rFonts w:ascii="Times New Roman" w:hAnsi="Times New Roman" w:cs="Times New Roman"/>
          <w:sz w:val="24"/>
          <w:szCs w:val="24"/>
        </w:rPr>
        <w:t>more</w:t>
      </w:r>
      <w:r w:rsidR="004A0BB2" w:rsidRPr="0043224D">
        <w:rPr>
          <w:rFonts w:ascii="Times New Roman" w:hAnsi="Times New Roman" w:cs="Times New Roman"/>
          <w:sz w:val="24"/>
          <w:szCs w:val="24"/>
        </w:rPr>
        <w:t>, Falk goes onto to</w:t>
      </w:r>
      <w:r w:rsidR="008F5930" w:rsidRPr="0043224D">
        <w:rPr>
          <w:rFonts w:ascii="Times New Roman" w:hAnsi="Times New Roman" w:cs="Times New Roman"/>
          <w:sz w:val="24"/>
          <w:szCs w:val="24"/>
        </w:rPr>
        <w:t xml:space="preserve"> accurately</w:t>
      </w:r>
      <w:r w:rsidR="004A0BB2" w:rsidRPr="0043224D">
        <w:rPr>
          <w:rFonts w:ascii="Times New Roman" w:hAnsi="Times New Roman" w:cs="Times New Roman"/>
          <w:sz w:val="24"/>
          <w:szCs w:val="24"/>
        </w:rPr>
        <w:t xml:space="preserve"> position the quest for indigenous rights firmly within the all-encompassing paradigm of economic globalisation</w:t>
      </w:r>
      <w:r w:rsidR="008F5930" w:rsidRPr="0043224D">
        <w:rPr>
          <w:rFonts w:ascii="Times New Roman" w:hAnsi="Times New Roman" w:cs="Times New Roman"/>
          <w:sz w:val="24"/>
          <w:szCs w:val="24"/>
        </w:rPr>
        <w:t>, and indeed a</w:t>
      </w:r>
      <w:r w:rsidR="00177B38" w:rsidRPr="0043224D">
        <w:rPr>
          <w:rFonts w:ascii="Times New Roman" w:hAnsi="Times New Roman" w:cs="Times New Roman"/>
          <w:sz w:val="24"/>
          <w:szCs w:val="24"/>
        </w:rPr>
        <w:t>s a result sees indigenous rights as a significant challenge to globalisation</w:t>
      </w:r>
      <w:r w:rsidR="008F5930" w:rsidRPr="0043224D">
        <w:rPr>
          <w:rFonts w:ascii="Times New Roman" w:hAnsi="Times New Roman" w:cs="Times New Roman"/>
          <w:sz w:val="24"/>
          <w:szCs w:val="24"/>
        </w:rPr>
        <w:t xml:space="preserve"> contemporary excesses</w:t>
      </w:r>
      <w:r w:rsidR="00177B38" w:rsidRPr="0043224D">
        <w:rPr>
          <w:rFonts w:ascii="Times New Roman" w:hAnsi="Times New Roman" w:cs="Times New Roman"/>
          <w:sz w:val="24"/>
          <w:szCs w:val="24"/>
        </w:rPr>
        <w:t>, particularly the excesses of global extractive industries</w:t>
      </w:r>
      <w:r w:rsidR="008F5930" w:rsidRPr="0043224D">
        <w:rPr>
          <w:rFonts w:ascii="Times New Roman" w:hAnsi="Times New Roman" w:cs="Times New Roman"/>
          <w:sz w:val="24"/>
          <w:szCs w:val="24"/>
        </w:rPr>
        <w:t>.</w:t>
      </w:r>
      <w:r w:rsidR="008F5930" w:rsidRPr="0043224D">
        <w:rPr>
          <w:rStyle w:val="FootnoteReference"/>
          <w:rFonts w:ascii="Times New Roman" w:hAnsi="Times New Roman" w:cs="Times New Roman"/>
          <w:sz w:val="24"/>
          <w:szCs w:val="24"/>
        </w:rPr>
        <w:footnoteReference w:id="61"/>
      </w:r>
      <w:r w:rsidR="004A0BB2" w:rsidRPr="0043224D">
        <w:rPr>
          <w:rFonts w:ascii="Times New Roman" w:hAnsi="Times New Roman" w:cs="Times New Roman"/>
          <w:sz w:val="24"/>
          <w:szCs w:val="24"/>
        </w:rPr>
        <w:t xml:space="preserve"> </w:t>
      </w:r>
      <w:r w:rsidR="008F5930" w:rsidRPr="0043224D">
        <w:rPr>
          <w:rFonts w:ascii="Times New Roman" w:hAnsi="Times New Roman" w:cs="Times New Roman"/>
          <w:sz w:val="24"/>
          <w:szCs w:val="24"/>
        </w:rPr>
        <w:t>More importantly still, he also recognises</w:t>
      </w:r>
      <w:r w:rsidR="002B14A0" w:rsidRPr="0043224D">
        <w:rPr>
          <w:rFonts w:ascii="Times New Roman" w:hAnsi="Times New Roman" w:cs="Times New Roman"/>
          <w:sz w:val="24"/>
          <w:szCs w:val="24"/>
        </w:rPr>
        <w:t xml:space="preserve"> that</w:t>
      </w:r>
      <w:r w:rsidR="008F5930" w:rsidRPr="0043224D">
        <w:rPr>
          <w:rFonts w:ascii="Times New Roman" w:hAnsi="Times New Roman" w:cs="Times New Roman"/>
          <w:sz w:val="24"/>
          <w:szCs w:val="24"/>
        </w:rPr>
        <w:t xml:space="preserve"> the threat </w:t>
      </w:r>
      <w:r w:rsidR="002B14A0" w:rsidRPr="0043224D">
        <w:rPr>
          <w:rFonts w:ascii="Times New Roman" w:hAnsi="Times New Roman" w:cs="Times New Roman"/>
          <w:sz w:val="24"/>
          <w:szCs w:val="24"/>
        </w:rPr>
        <w:t xml:space="preserve">is </w:t>
      </w:r>
      <w:r w:rsidR="008F5930" w:rsidRPr="0043224D">
        <w:rPr>
          <w:rFonts w:ascii="Times New Roman" w:hAnsi="Times New Roman" w:cs="Times New Roman"/>
          <w:sz w:val="24"/>
          <w:szCs w:val="24"/>
        </w:rPr>
        <w:t>not only to the broader notion of global indigenous rights in all its manifestations, but also</w:t>
      </w:r>
      <w:r w:rsidR="00C968F7">
        <w:rPr>
          <w:rFonts w:ascii="Times New Roman" w:hAnsi="Times New Roman" w:cs="Times New Roman"/>
          <w:sz w:val="24"/>
          <w:szCs w:val="24"/>
        </w:rPr>
        <w:t xml:space="preserve"> highlights</w:t>
      </w:r>
      <w:r w:rsidR="008F5930" w:rsidRPr="0043224D">
        <w:rPr>
          <w:rFonts w:ascii="Times New Roman" w:hAnsi="Times New Roman" w:cs="Times New Roman"/>
          <w:sz w:val="24"/>
          <w:szCs w:val="24"/>
        </w:rPr>
        <w:t xml:space="preserve"> the</w:t>
      </w:r>
      <w:r w:rsidR="00DC24E3" w:rsidRPr="0043224D">
        <w:rPr>
          <w:rFonts w:ascii="Times New Roman" w:hAnsi="Times New Roman" w:cs="Times New Roman"/>
          <w:sz w:val="24"/>
          <w:szCs w:val="24"/>
        </w:rPr>
        <w:t xml:space="preserve"> potential for</w:t>
      </w:r>
      <w:r w:rsidR="008F5930" w:rsidRPr="0043224D">
        <w:rPr>
          <w:rFonts w:ascii="Times New Roman" w:hAnsi="Times New Roman" w:cs="Times New Roman"/>
          <w:sz w:val="24"/>
          <w:szCs w:val="24"/>
        </w:rPr>
        <w:t xml:space="preserve"> “severe displacement, even extinction” that these </w:t>
      </w:r>
      <w:r w:rsidR="00C968F7">
        <w:rPr>
          <w:rFonts w:ascii="Times New Roman" w:hAnsi="Times New Roman" w:cs="Times New Roman"/>
          <w:sz w:val="24"/>
          <w:szCs w:val="24"/>
        </w:rPr>
        <w:t>global</w:t>
      </w:r>
      <w:r w:rsidR="008F5930" w:rsidRPr="0043224D">
        <w:rPr>
          <w:rFonts w:ascii="Times New Roman" w:hAnsi="Times New Roman" w:cs="Times New Roman"/>
          <w:sz w:val="24"/>
          <w:szCs w:val="24"/>
        </w:rPr>
        <w:t xml:space="preserve"> economic forces pose to indigenous survival.</w:t>
      </w:r>
      <w:r w:rsidR="008F5930" w:rsidRPr="0043224D">
        <w:rPr>
          <w:rStyle w:val="FootnoteReference"/>
          <w:rFonts w:ascii="Times New Roman" w:hAnsi="Times New Roman" w:cs="Times New Roman"/>
          <w:sz w:val="24"/>
          <w:szCs w:val="24"/>
        </w:rPr>
        <w:footnoteReference w:id="62"/>
      </w:r>
      <w:r w:rsidR="008F5930" w:rsidRPr="0043224D">
        <w:rPr>
          <w:rFonts w:ascii="Times New Roman" w:hAnsi="Times New Roman" w:cs="Times New Roman"/>
          <w:sz w:val="24"/>
          <w:szCs w:val="24"/>
        </w:rPr>
        <w:t xml:space="preserve"> </w:t>
      </w:r>
      <w:r w:rsidR="0059458F" w:rsidRPr="0043224D">
        <w:rPr>
          <w:rFonts w:ascii="Times New Roman" w:hAnsi="Times New Roman" w:cs="Times New Roman"/>
          <w:sz w:val="24"/>
          <w:szCs w:val="24"/>
        </w:rPr>
        <w:t xml:space="preserve"> Additionally, t</w:t>
      </w:r>
      <w:r w:rsidR="0082115B" w:rsidRPr="0043224D">
        <w:rPr>
          <w:rFonts w:ascii="Times New Roman" w:hAnsi="Times New Roman" w:cs="Times New Roman"/>
          <w:sz w:val="24"/>
          <w:szCs w:val="24"/>
        </w:rPr>
        <w:t xml:space="preserve">he UN Special Rapporteur on the Right </w:t>
      </w:r>
      <w:r w:rsidR="00471251" w:rsidRPr="0043224D">
        <w:rPr>
          <w:rFonts w:ascii="Times New Roman" w:hAnsi="Times New Roman" w:cs="Times New Roman"/>
          <w:sz w:val="24"/>
          <w:szCs w:val="24"/>
        </w:rPr>
        <w:t>to Adequate Housing in 2006 also expressly links the impact of globalisation on eviction and displacement, although indigenous peoples were not explicitly named in the report, the concerns e</w:t>
      </w:r>
      <w:r w:rsidR="00AF5C77" w:rsidRPr="0043224D">
        <w:rPr>
          <w:rFonts w:ascii="Times New Roman" w:hAnsi="Times New Roman" w:cs="Times New Roman"/>
          <w:sz w:val="24"/>
          <w:szCs w:val="24"/>
        </w:rPr>
        <w:t>xpressed are also applicable to their situation.</w:t>
      </w:r>
      <w:r w:rsidR="00AF5C77" w:rsidRPr="0043224D">
        <w:rPr>
          <w:rStyle w:val="FootnoteReference"/>
          <w:rFonts w:ascii="Times New Roman" w:hAnsi="Times New Roman" w:cs="Times New Roman"/>
          <w:sz w:val="24"/>
          <w:szCs w:val="24"/>
        </w:rPr>
        <w:footnoteReference w:id="63"/>
      </w:r>
      <w:r w:rsidR="0082115B" w:rsidRPr="0043224D">
        <w:rPr>
          <w:rFonts w:ascii="Times New Roman" w:hAnsi="Times New Roman" w:cs="Times New Roman"/>
          <w:sz w:val="24"/>
          <w:szCs w:val="24"/>
        </w:rPr>
        <w:t xml:space="preserve"> </w:t>
      </w:r>
      <w:r w:rsidR="008F5930" w:rsidRPr="0043224D">
        <w:rPr>
          <w:rFonts w:ascii="Times New Roman" w:hAnsi="Times New Roman" w:cs="Times New Roman"/>
          <w:sz w:val="24"/>
          <w:szCs w:val="24"/>
        </w:rPr>
        <w:t xml:space="preserve">  </w:t>
      </w:r>
      <w:r w:rsidR="004A0BB2" w:rsidRPr="0043224D">
        <w:rPr>
          <w:rFonts w:ascii="Times New Roman" w:hAnsi="Times New Roman" w:cs="Times New Roman"/>
          <w:sz w:val="24"/>
          <w:szCs w:val="24"/>
        </w:rPr>
        <w:t xml:space="preserve">   </w:t>
      </w:r>
    </w:p>
    <w:p w:rsidR="00077B03" w:rsidRPr="0043224D" w:rsidRDefault="00553854"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Of particular significance</w:t>
      </w:r>
      <w:r w:rsidR="00775BB2" w:rsidRPr="0043224D">
        <w:rPr>
          <w:rFonts w:ascii="Times New Roman" w:hAnsi="Times New Roman" w:cs="Times New Roman"/>
          <w:sz w:val="24"/>
          <w:szCs w:val="24"/>
        </w:rPr>
        <w:t xml:space="preserve"> to the issues advanced in this thesis</w:t>
      </w:r>
      <w:r w:rsidR="00F31998" w:rsidRPr="0043224D">
        <w:rPr>
          <w:rFonts w:ascii="Times New Roman" w:hAnsi="Times New Roman" w:cs="Times New Roman"/>
          <w:sz w:val="24"/>
          <w:szCs w:val="24"/>
        </w:rPr>
        <w:t>, this paradigmatic model of development has been practiced</w:t>
      </w:r>
      <w:r w:rsidR="007431F4" w:rsidRPr="0043224D">
        <w:rPr>
          <w:rFonts w:ascii="Times New Roman" w:hAnsi="Times New Roman" w:cs="Times New Roman"/>
          <w:sz w:val="24"/>
          <w:szCs w:val="24"/>
        </w:rPr>
        <w:t xml:space="preserve"> and imposed</w:t>
      </w:r>
      <w:r w:rsidR="00A05072" w:rsidRPr="0043224D">
        <w:rPr>
          <w:rFonts w:ascii="Times New Roman" w:hAnsi="Times New Roman" w:cs="Times New Roman"/>
          <w:sz w:val="24"/>
          <w:szCs w:val="24"/>
        </w:rPr>
        <w:t xml:space="preserve"> </w:t>
      </w:r>
      <w:r w:rsidR="007431F4" w:rsidRPr="0043224D">
        <w:rPr>
          <w:rFonts w:ascii="Times New Roman" w:hAnsi="Times New Roman" w:cs="Times New Roman"/>
          <w:sz w:val="24"/>
          <w:szCs w:val="24"/>
        </w:rPr>
        <w:t>upon</w:t>
      </w:r>
      <w:r w:rsidR="00A05072" w:rsidRPr="0043224D">
        <w:rPr>
          <w:rFonts w:ascii="Times New Roman" w:hAnsi="Times New Roman" w:cs="Times New Roman"/>
          <w:sz w:val="24"/>
          <w:szCs w:val="24"/>
        </w:rPr>
        <w:t xml:space="preserve"> developing countries</w:t>
      </w:r>
      <w:r w:rsidR="00F31998" w:rsidRPr="0043224D">
        <w:rPr>
          <w:rFonts w:ascii="Times New Roman" w:hAnsi="Times New Roman" w:cs="Times New Roman"/>
          <w:sz w:val="24"/>
          <w:szCs w:val="24"/>
        </w:rPr>
        <w:t xml:space="preserve"> by the world’s largest</w:t>
      </w:r>
      <w:r w:rsidR="003E0682" w:rsidRPr="0043224D">
        <w:rPr>
          <w:rFonts w:ascii="Times New Roman" w:hAnsi="Times New Roman" w:cs="Times New Roman"/>
          <w:sz w:val="24"/>
          <w:szCs w:val="24"/>
        </w:rPr>
        <w:t xml:space="preserve"> multilateral</w:t>
      </w:r>
      <w:r w:rsidR="00F31998" w:rsidRPr="0043224D">
        <w:rPr>
          <w:rFonts w:ascii="Times New Roman" w:hAnsi="Times New Roman" w:cs="Times New Roman"/>
          <w:sz w:val="24"/>
          <w:szCs w:val="24"/>
        </w:rPr>
        <w:t xml:space="preserve"> development organisations</w:t>
      </w:r>
      <w:r w:rsidR="00DC24E3" w:rsidRPr="0043224D">
        <w:rPr>
          <w:rFonts w:ascii="Times New Roman" w:hAnsi="Times New Roman" w:cs="Times New Roman"/>
          <w:sz w:val="24"/>
          <w:szCs w:val="24"/>
        </w:rPr>
        <w:t xml:space="preserve"> for decades</w:t>
      </w:r>
      <w:r w:rsidR="001F61DF">
        <w:rPr>
          <w:rFonts w:ascii="Times New Roman" w:hAnsi="Times New Roman" w:cs="Times New Roman"/>
          <w:sz w:val="24"/>
          <w:szCs w:val="24"/>
        </w:rPr>
        <w:t>:</w:t>
      </w:r>
      <w:r w:rsidR="00716E17" w:rsidRPr="0043224D">
        <w:rPr>
          <w:rFonts w:ascii="Times New Roman" w:hAnsi="Times New Roman" w:cs="Times New Roman"/>
          <w:sz w:val="24"/>
          <w:szCs w:val="24"/>
        </w:rPr>
        <w:t xml:space="preserve"> the World Bank, </w:t>
      </w:r>
      <w:r w:rsidR="00371D77" w:rsidRPr="0043224D">
        <w:rPr>
          <w:rFonts w:ascii="Times New Roman" w:hAnsi="Times New Roman" w:cs="Times New Roman"/>
          <w:sz w:val="24"/>
          <w:szCs w:val="24"/>
        </w:rPr>
        <w:t>the I</w:t>
      </w:r>
      <w:r w:rsidR="003E0682" w:rsidRPr="0043224D">
        <w:rPr>
          <w:rFonts w:ascii="Times New Roman" w:hAnsi="Times New Roman" w:cs="Times New Roman"/>
          <w:sz w:val="24"/>
          <w:szCs w:val="24"/>
        </w:rPr>
        <w:t xml:space="preserve">nternational </w:t>
      </w:r>
      <w:r w:rsidR="00371D77" w:rsidRPr="0043224D">
        <w:rPr>
          <w:rFonts w:ascii="Times New Roman" w:hAnsi="Times New Roman" w:cs="Times New Roman"/>
          <w:sz w:val="24"/>
          <w:szCs w:val="24"/>
        </w:rPr>
        <w:t>M</w:t>
      </w:r>
      <w:r w:rsidR="003E0682" w:rsidRPr="0043224D">
        <w:rPr>
          <w:rFonts w:ascii="Times New Roman" w:hAnsi="Times New Roman" w:cs="Times New Roman"/>
          <w:sz w:val="24"/>
          <w:szCs w:val="24"/>
        </w:rPr>
        <w:t xml:space="preserve">onetary </w:t>
      </w:r>
      <w:r w:rsidR="00371D77" w:rsidRPr="0043224D">
        <w:rPr>
          <w:rFonts w:ascii="Times New Roman" w:hAnsi="Times New Roman" w:cs="Times New Roman"/>
          <w:sz w:val="24"/>
          <w:szCs w:val="24"/>
        </w:rPr>
        <w:t>F</w:t>
      </w:r>
      <w:r w:rsidR="003E0682" w:rsidRPr="0043224D">
        <w:rPr>
          <w:rFonts w:ascii="Times New Roman" w:hAnsi="Times New Roman" w:cs="Times New Roman"/>
          <w:sz w:val="24"/>
          <w:szCs w:val="24"/>
        </w:rPr>
        <w:t>und</w:t>
      </w:r>
      <w:r w:rsidR="00371D77" w:rsidRPr="0043224D">
        <w:rPr>
          <w:rFonts w:ascii="Times New Roman" w:hAnsi="Times New Roman" w:cs="Times New Roman"/>
          <w:sz w:val="24"/>
          <w:szCs w:val="24"/>
        </w:rPr>
        <w:t>, the W</w:t>
      </w:r>
      <w:r w:rsidR="003E0682" w:rsidRPr="0043224D">
        <w:rPr>
          <w:rFonts w:ascii="Times New Roman" w:hAnsi="Times New Roman" w:cs="Times New Roman"/>
          <w:sz w:val="24"/>
          <w:szCs w:val="24"/>
        </w:rPr>
        <w:t xml:space="preserve">orld </w:t>
      </w:r>
      <w:r w:rsidR="00371D77" w:rsidRPr="0043224D">
        <w:rPr>
          <w:rFonts w:ascii="Times New Roman" w:hAnsi="Times New Roman" w:cs="Times New Roman"/>
          <w:sz w:val="24"/>
          <w:szCs w:val="24"/>
        </w:rPr>
        <w:t>T</w:t>
      </w:r>
      <w:r w:rsidR="003E0682" w:rsidRPr="0043224D">
        <w:rPr>
          <w:rFonts w:ascii="Times New Roman" w:hAnsi="Times New Roman" w:cs="Times New Roman"/>
          <w:sz w:val="24"/>
          <w:szCs w:val="24"/>
        </w:rPr>
        <w:t xml:space="preserve">rade </w:t>
      </w:r>
      <w:r w:rsidR="00371D77" w:rsidRPr="0043224D">
        <w:rPr>
          <w:rFonts w:ascii="Times New Roman" w:hAnsi="Times New Roman" w:cs="Times New Roman"/>
          <w:sz w:val="24"/>
          <w:szCs w:val="24"/>
        </w:rPr>
        <w:t>O</w:t>
      </w:r>
      <w:r w:rsidR="003E0682" w:rsidRPr="0043224D">
        <w:rPr>
          <w:rFonts w:ascii="Times New Roman" w:hAnsi="Times New Roman" w:cs="Times New Roman"/>
          <w:sz w:val="24"/>
          <w:szCs w:val="24"/>
        </w:rPr>
        <w:t>rganisation</w:t>
      </w:r>
      <w:r w:rsidR="00F31998" w:rsidRPr="0043224D">
        <w:rPr>
          <w:rFonts w:ascii="Times New Roman" w:hAnsi="Times New Roman" w:cs="Times New Roman"/>
          <w:sz w:val="24"/>
          <w:szCs w:val="24"/>
        </w:rPr>
        <w:t>.</w:t>
      </w:r>
      <w:r w:rsidR="00371D77" w:rsidRPr="0043224D">
        <w:rPr>
          <w:rStyle w:val="FootnoteReference"/>
          <w:rFonts w:ascii="Times New Roman" w:hAnsi="Times New Roman" w:cs="Times New Roman"/>
          <w:sz w:val="24"/>
          <w:szCs w:val="24"/>
        </w:rPr>
        <w:footnoteReference w:id="64"/>
      </w:r>
      <w:r w:rsidR="00F31998" w:rsidRPr="0043224D">
        <w:rPr>
          <w:rFonts w:ascii="Times New Roman" w:hAnsi="Times New Roman" w:cs="Times New Roman"/>
          <w:sz w:val="24"/>
          <w:szCs w:val="24"/>
        </w:rPr>
        <w:t xml:space="preserve"> </w:t>
      </w:r>
      <w:r w:rsidR="0079389F" w:rsidRPr="0043224D">
        <w:rPr>
          <w:rFonts w:ascii="Times New Roman" w:hAnsi="Times New Roman" w:cs="Times New Roman"/>
          <w:sz w:val="24"/>
          <w:szCs w:val="24"/>
        </w:rPr>
        <w:t xml:space="preserve"> </w:t>
      </w:r>
      <w:r w:rsidR="00177B38" w:rsidRPr="0043224D">
        <w:rPr>
          <w:rFonts w:ascii="Times New Roman" w:hAnsi="Times New Roman" w:cs="Times New Roman"/>
          <w:sz w:val="24"/>
          <w:szCs w:val="24"/>
        </w:rPr>
        <w:t>Consequently</w:t>
      </w:r>
      <w:r w:rsidR="00DC24E3" w:rsidRPr="0043224D">
        <w:rPr>
          <w:rFonts w:ascii="Times New Roman" w:hAnsi="Times New Roman" w:cs="Times New Roman"/>
          <w:sz w:val="24"/>
          <w:szCs w:val="24"/>
        </w:rPr>
        <w:t>,</w:t>
      </w:r>
      <w:r w:rsidR="00077B03" w:rsidRPr="0043224D">
        <w:rPr>
          <w:rFonts w:ascii="Times New Roman" w:hAnsi="Times New Roman" w:cs="Times New Roman"/>
          <w:sz w:val="24"/>
          <w:szCs w:val="24"/>
        </w:rPr>
        <w:t xml:space="preserve"> neo-liberal macro-economic policies can now be said to be hegemonic in both the global and </w:t>
      </w:r>
      <w:r w:rsidR="008A3A98" w:rsidRPr="0043224D">
        <w:rPr>
          <w:rFonts w:ascii="Times New Roman" w:hAnsi="Times New Roman" w:cs="Times New Roman"/>
          <w:sz w:val="24"/>
          <w:szCs w:val="24"/>
        </w:rPr>
        <w:t>national</w:t>
      </w:r>
      <w:r w:rsidR="00077B03" w:rsidRPr="0043224D">
        <w:rPr>
          <w:rFonts w:ascii="Times New Roman" w:hAnsi="Times New Roman" w:cs="Times New Roman"/>
          <w:sz w:val="24"/>
          <w:szCs w:val="24"/>
        </w:rPr>
        <w:t xml:space="preserve"> spheres, policies which are responsible for driving the impetus for large-scale development projects and the ever increasing quest for sub-surface mineral deposits.</w:t>
      </w:r>
      <w:r w:rsidR="008A3A98" w:rsidRPr="0043224D">
        <w:rPr>
          <w:rFonts w:ascii="Times New Roman" w:hAnsi="Times New Roman" w:cs="Times New Roman"/>
          <w:sz w:val="24"/>
          <w:szCs w:val="24"/>
        </w:rPr>
        <w:t xml:space="preserve"> </w:t>
      </w:r>
    </w:p>
    <w:p w:rsidR="00C519DA" w:rsidRPr="001B2B31" w:rsidRDefault="001066E8" w:rsidP="0043224D">
      <w:pPr>
        <w:pStyle w:val="Heading2"/>
        <w:spacing w:line="360" w:lineRule="auto"/>
      </w:pPr>
      <w:bookmarkStart w:id="20" w:name="_Toc399848353"/>
      <w:r>
        <w:t xml:space="preserve">3.2 </w:t>
      </w:r>
      <w:r w:rsidRPr="001B2B31">
        <w:t>Indigenous</w:t>
      </w:r>
      <w:r w:rsidR="00D335BF" w:rsidRPr="001B2B31">
        <w:t xml:space="preserve"> Rights as Collective Rights</w:t>
      </w:r>
      <w:bookmarkEnd w:id="20"/>
      <w:r w:rsidR="00D335BF" w:rsidRPr="001B2B31">
        <w:t xml:space="preserve"> </w:t>
      </w:r>
      <w:r w:rsidR="00063B79" w:rsidRPr="001B2B31">
        <w:t xml:space="preserve"> </w:t>
      </w:r>
    </w:p>
    <w:p w:rsidR="005C6E98" w:rsidRPr="0043224D" w:rsidRDefault="00196BD0"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In 2005, </w:t>
      </w:r>
      <w:r w:rsidR="00460FC5" w:rsidRPr="0043224D">
        <w:rPr>
          <w:rFonts w:ascii="Times New Roman" w:hAnsi="Times New Roman" w:cs="Times New Roman"/>
          <w:sz w:val="24"/>
          <w:szCs w:val="24"/>
        </w:rPr>
        <w:t>the International</w:t>
      </w:r>
      <w:r w:rsidR="00C31AD9" w:rsidRPr="0043224D">
        <w:rPr>
          <w:rFonts w:ascii="Times New Roman" w:hAnsi="Times New Roman" w:cs="Times New Roman"/>
          <w:sz w:val="24"/>
          <w:szCs w:val="24"/>
        </w:rPr>
        <w:t xml:space="preserve"> Work</w:t>
      </w:r>
      <w:r w:rsidRPr="0043224D">
        <w:rPr>
          <w:rFonts w:ascii="Times New Roman" w:hAnsi="Times New Roman" w:cs="Times New Roman"/>
          <w:sz w:val="24"/>
          <w:szCs w:val="24"/>
        </w:rPr>
        <w:t xml:space="preserve"> Group for Indigenous Affairs</w:t>
      </w:r>
      <w:r w:rsidR="00025129" w:rsidRPr="0043224D">
        <w:rPr>
          <w:rFonts w:ascii="Times New Roman" w:hAnsi="Times New Roman" w:cs="Times New Roman"/>
          <w:sz w:val="24"/>
          <w:szCs w:val="24"/>
        </w:rPr>
        <w:t xml:space="preserve"> (here</w:t>
      </w:r>
      <w:r w:rsidR="00C31AD9" w:rsidRPr="0043224D">
        <w:rPr>
          <w:rFonts w:ascii="Times New Roman" w:hAnsi="Times New Roman" w:cs="Times New Roman"/>
          <w:sz w:val="24"/>
          <w:szCs w:val="24"/>
        </w:rPr>
        <w:t>after IWGIA)</w:t>
      </w:r>
      <w:r w:rsidR="00BE65ED" w:rsidRPr="0043224D">
        <w:rPr>
          <w:rFonts w:ascii="Times New Roman" w:hAnsi="Times New Roman" w:cs="Times New Roman"/>
          <w:sz w:val="24"/>
          <w:szCs w:val="24"/>
        </w:rPr>
        <w:t xml:space="preserve">, an independent human rights NGO working exclusively in the area of indigenous people’s collective rights, </w:t>
      </w:r>
      <w:r w:rsidRPr="0043224D">
        <w:rPr>
          <w:rFonts w:ascii="Times New Roman" w:hAnsi="Times New Roman" w:cs="Times New Roman"/>
          <w:sz w:val="24"/>
          <w:szCs w:val="24"/>
        </w:rPr>
        <w:t>observed that the question of sovereignty over resources is central to any discussion on development</w:t>
      </w:r>
      <w:r w:rsidR="00272900" w:rsidRPr="0043224D">
        <w:rPr>
          <w:rFonts w:ascii="Times New Roman" w:hAnsi="Times New Roman" w:cs="Times New Roman"/>
          <w:sz w:val="24"/>
          <w:szCs w:val="24"/>
        </w:rPr>
        <w:t xml:space="preserve"> and indigenous peoples</w:t>
      </w:r>
      <w:r w:rsidRPr="0043224D">
        <w:rPr>
          <w:rFonts w:ascii="Times New Roman" w:hAnsi="Times New Roman" w:cs="Times New Roman"/>
          <w:sz w:val="24"/>
          <w:szCs w:val="24"/>
        </w:rPr>
        <w:t>: “</w:t>
      </w:r>
      <w:r w:rsidR="00B821A3" w:rsidRPr="0043224D">
        <w:rPr>
          <w:rFonts w:ascii="Times New Roman" w:hAnsi="Times New Roman" w:cs="Times New Roman"/>
          <w:sz w:val="24"/>
          <w:szCs w:val="24"/>
        </w:rPr>
        <w:t xml:space="preserve">Control over </w:t>
      </w:r>
      <w:r w:rsidRPr="0043224D">
        <w:rPr>
          <w:rFonts w:ascii="Times New Roman" w:hAnsi="Times New Roman" w:cs="Times New Roman"/>
          <w:sz w:val="24"/>
          <w:szCs w:val="24"/>
        </w:rPr>
        <w:t xml:space="preserve">Indigenous </w:t>
      </w:r>
      <w:r w:rsidR="00B821A3" w:rsidRPr="0043224D">
        <w:rPr>
          <w:rFonts w:ascii="Times New Roman" w:hAnsi="Times New Roman" w:cs="Times New Roman"/>
          <w:sz w:val="24"/>
          <w:szCs w:val="24"/>
        </w:rPr>
        <w:t xml:space="preserve">lands, </w:t>
      </w:r>
      <w:r w:rsidR="00965FA4" w:rsidRPr="0043224D">
        <w:rPr>
          <w:rFonts w:ascii="Times New Roman" w:hAnsi="Times New Roman" w:cs="Times New Roman"/>
          <w:sz w:val="24"/>
          <w:szCs w:val="24"/>
        </w:rPr>
        <w:t>water and</w:t>
      </w:r>
      <w:r w:rsidR="00B821A3" w:rsidRPr="0043224D">
        <w:rPr>
          <w:rFonts w:ascii="Times New Roman" w:hAnsi="Times New Roman" w:cs="Times New Roman"/>
          <w:sz w:val="24"/>
          <w:szCs w:val="24"/>
        </w:rPr>
        <w:t xml:space="preserve"> resources is…</w:t>
      </w:r>
      <w:r w:rsidRPr="0043224D">
        <w:rPr>
          <w:rFonts w:ascii="Times New Roman" w:hAnsi="Times New Roman" w:cs="Times New Roman"/>
          <w:sz w:val="24"/>
          <w:szCs w:val="24"/>
        </w:rPr>
        <w:t xml:space="preserve"> by far the issue that gives rise to most violent conflicts and to human rights violations committed by governments, police, mining comp</w:t>
      </w:r>
      <w:r w:rsidR="00965FA4" w:rsidRPr="0043224D">
        <w:rPr>
          <w:rFonts w:ascii="Times New Roman" w:hAnsi="Times New Roman" w:cs="Times New Roman"/>
          <w:sz w:val="24"/>
          <w:szCs w:val="24"/>
        </w:rPr>
        <w:t>anies, logging companies, etc.”</w:t>
      </w:r>
      <w:r w:rsidR="004F1FFC" w:rsidRPr="0043224D">
        <w:rPr>
          <w:rStyle w:val="FootnoteReference"/>
          <w:rFonts w:ascii="Times New Roman" w:hAnsi="Times New Roman" w:cs="Times New Roman"/>
          <w:sz w:val="24"/>
          <w:szCs w:val="24"/>
        </w:rPr>
        <w:footnoteReference w:id="65"/>
      </w:r>
      <w:r w:rsidRPr="0043224D">
        <w:rPr>
          <w:rFonts w:ascii="Times New Roman" w:hAnsi="Times New Roman" w:cs="Times New Roman"/>
          <w:sz w:val="24"/>
          <w:szCs w:val="24"/>
        </w:rPr>
        <w:t xml:space="preserve">  </w:t>
      </w:r>
      <w:r w:rsidR="00DC24E3" w:rsidRPr="0043224D">
        <w:rPr>
          <w:rFonts w:ascii="Times New Roman" w:hAnsi="Times New Roman" w:cs="Times New Roman"/>
          <w:sz w:val="24"/>
          <w:szCs w:val="24"/>
        </w:rPr>
        <w:t>The report also</w:t>
      </w:r>
      <w:r w:rsidRPr="0043224D">
        <w:rPr>
          <w:rFonts w:ascii="Times New Roman" w:hAnsi="Times New Roman" w:cs="Times New Roman"/>
          <w:sz w:val="24"/>
          <w:szCs w:val="24"/>
        </w:rPr>
        <w:t xml:space="preserve"> note</w:t>
      </w:r>
      <w:r w:rsidR="00DC24E3" w:rsidRPr="0043224D">
        <w:rPr>
          <w:rFonts w:ascii="Times New Roman" w:hAnsi="Times New Roman" w:cs="Times New Roman"/>
          <w:sz w:val="24"/>
          <w:szCs w:val="24"/>
        </w:rPr>
        <w:t>s</w:t>
      </w:r>
      <w:r w:rsidRPr="0043224D">
        <w:rPr>
          <w:rFonts w:ascii="Times New Roman" w:hAnsi="Times New Roman" w:cs="Times New Roman"/>
          <w:sz w:val="24"/>
          <w:szCs w:val="24"/>
        </w:rPr>
        <w:t xml:space="preserve"> that the most controversial of all human rights </w:t>
      </w:r>
      <w:r w:rsidR="00BE65ED" w:rsidRPr="0043224D">
        <w:rPr>
          <w:rFonts w:ascii="Times New Roman" w:hAnsi="Times New Roman" w:cs="Times New Roman"/>
          <w:sz w:val="24"/>
          <w:szCs w:val="24"/>
        </w:rPr>
        <w:t>abuses</w:t>
      </w:r>
      <w:r w:rsidRPr="0043224D">
        <w:rPr>
          <w:rFonts w:ascii="Times New Roman" w:hAnsi="Times New Roman" w:cs="Times New Roman"/>
          <w:sz w:val="24"/>
          <w:szCs w:val="24"/>
        </w:rPr>
        <w:t xml:space="preserve"> </w:t>
      </w:r>
      <w:r w:rsidR="004F1FFC" w:rsidRPr="0043224D">
        <w:rPr>
          <w:rFonts w:ascii="Times New Roman" w:hAnsi="Times New Roman" w:cs="Times New Roman"/>
          <w:sz w:val="24"/>
          <w:szCs w:val="24"/>
        </w:rPr>
        <w:t>relating to indigenous peoples rights i</w:t>
      </w:r>
      <w:r w:rsidR="003E0682" w:rsidRPr="0043224D">
        <w:rPr>
          <w:rFonts w:ascii="Times New Roman" w:hAnsi="Times New Roman" w:cs="Times New Roman"/>
          <w:sz w:val="24"/>
          <w:szCs w:val="24"/>
        </w:rPr>
        <w:t>s intricately bound up with the</w:t>
      </w:r>
      <w:r w:rsidR="004F1FFC" w:rsidRPr="0043224D">
        <w:rPr>
          <w:rFonts w:ascii="Times New Roman" w:hAnsi="Times New Roman" w:cs="Times New Roman"/>
          <w:sz w:val="24"/>
          <w:szCs w:val="24"/>
        </w:rPr>
        <w:t xml:space="preserve"> issue of resource extraction, and </w:t>
      </w:r>
      <w:r w:rsidR="00272900" w:rsidRPr="0043224D">
        <w:rPr>
          <w:rFonts w:ascii="Times New Roman" w:hAnsi="Times New Roman" w:cs="Times New Roman"/>
          <w:sz w:val="24"/>
          <w:szCs w:val="24"/>
        </w:rPr>
        <w:t>the negative</w:t>
      </w:r>
      <w:r w:rsidR="004F1FFC" w:rsidRPr="0043224D">
        <w:rPr>
          <w:rFonts w:ascii="Times New Roman" w:hAnsi="Times New Roman" w:cs="Times New Roman"/>
          <w:sz w:val="24"/>
          <w:szCs w:val="24"/>
        </w:rPr>
        <w:t xml:space="preserve"> outcomes</w:t>
      </w:r>
      <w:r w:rsidR="00272900" w:rsidRPr="0043224D">
        <w:rPr>
          <w:rFonts w:ascii="Times New Roman" w:hAnsi="Times New Roman" w:cs="Times New Roman"/>
          <w:sz w:val="24"/>
          <w:szCs w:val="24"/>
        </w:rPr>
        <w:t xml:space="preserve"> of </w:t>
      </w:r>
      <w:r w:rsidR="005C6E98" w:rsidRPr="0043224D">
        <w:rPr>
          <w:rFonts w:ascii="Times New Roman" w:hAnsi="Times New Roman" w:cs="Times New Roman"/>
          <w:sz w:val="24"/>
          <w:szCs w:val="24"/>
        </w:rPr>
        <w:t xml:space="preserve">extractive </w:t>
      </w:r>
      <w:r w:rsidR="00272900" w:rsidRPr="0043224D">
        <w:rPr>
          <w:rFonts w:ascii="Times New Roman" w:hAnsi="Times New Roman" w:cs="Times New Roman"/>
          <w:sz w:val="24"/>
          <w:szCs w:val="24"/>
        </w:rPr>
        <w:t>development, including displacement.</w:t>
      </w:r>
      <w:r w:rsidR="00272900" w:rsidRPr="0043224D">
        <w:rPr>
          <w:rStyle w:val="FootnoteReference"/>
          <w:rFonts w:ascii="Times New Roman" w:hAnsi="Times New Roman" w:cs="Times New Roman"/>
          <w:sz w:val="24"/>
          <w:szCs w:val="24"/>
        </w:rPr>
        <w:footnoteReference w:id="66"/>
      </w:r>
      <w:r w:rsidR="00272900" w:rsidRPr="0043224D">
        <w:rPr>
          <w:rFonts w:ascii="Times New Roman" w:hAnsi="Times New Roman" w:cs="Times New Roman"/>
          <w:sz w:val="24"/>
          <w:szCs w:val="24"/>
        </w:rPr>
        <w:t xml:space="preserve">  </w:t>
      </w:r>
    </w:p>
    <w:p w:rsidR="00D7299D" w:rsidRPr="0043224D" w:rsidRDefault="004F1FFC"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To distil it down to basics, on the</w:t>
      </w:r>
      <w:r w:rsidR="00965FA4" w:rsidRPr="0043224D">
        <w:rPr>
          <w:rFonts w:ascii="Times New Roman" w:hAnsi="Times New Roman" w:cs="Times New Roman"/>
          <w:sz w:val="24"/>
          <w:szCs w:val="24"/>
        </w:rPr>
        <w:t xml:space="preserve"> one</w:t>
      </w:r>
      <w:r w:rsidRPr="0043224D">
        <w:rPr>
          <w:rFonts w:ascii="Times New Roman" w:hAnsi="Times New Roman" w:cs="Times New Roman"/>
          <w:sz w:val="24"/>
          <w:szCs w:val="24"/>
        </w:rPr>
        <w:t xml:space="preserve"> hand, is the collective </w:t>
      </w:r>
      <w:r w:rsidR="00484053" w:rsidRPr="0043224D">
        <w:rPr>
          <w:rFonts w:ascii="Times New Roman" w:hAnsi="Times New Roman" w:cs="Times New Roman"/>
          <w:sz w:val="24"/>
          <w:szCs w:val="24"/>
        </w:rPr>
        <w:t>and often customary right of indigenous people</w:t>
      </w:r>
      <w:r w:rsidRPr="0043224D">
        <w:rPr>
          <w:rFonts w:ascii="Times New Roman" w:hAnsi="Times New Roman" w:cs="Times New Roman"/>
          <w:sz w:val="24"/>
          <w:szCs w:val="24"/>
        </w:rPr>
        <w:t>s to land and territories, enshrined in many country’s Constitutions if not</w:t>
      </w:r>
      <w:r w:rsidR="00E30BF5" w:rsidRPr="0043224D">
        <w:rPr>
          <w:rFonts w:ascii="Times New Roman" w:hAnsi="Times New Roman" w:cs="Times New Roman"/>
          <w:sz w:val="24"/>
          <w:szCs w:val="24"/>
        </w:rPr>
        <w:t xml:space="preserve"> always</w:t>
      </w:r>
      <w:r w:rsidRPr="0043224D">
        <w:rPr>
          <w:rFonts w:ascii="Times New Roman" w:hAnsi="Times New Roman" w:cs="Times New Roman"/>
          <w:sz w:val="24"/>
          <w:szCs w:val="24"/>
        </w:rPr>
        <w:t xml:space="preserve"> fully implemente</w:t>
      </w:r>
      <w:r w:rsidR="00965FA4" w:rsidRPr="0043224D">
        <w:rPr>
          <w:rFonts w:ascii="Times New Roman" w:hAnsi="Times New Roman" w:cs="Times New Roman"/>
          <w:sz w:val="24"/>
          <w:szCs w:val="24"/>
        </w:rPr>
        <w:t>d by governmental institutions.</w:t>
      </w:r>
      <w:r w:rsidRPr="0043224D">
        <w:rPr>
          <w:rStyle w:val="FootnoteReference"/>
          <w:rFonts w:ascii="Times New Roman" w:hAnsi="Times New Roman" w:cs="Times New Roman"/>
          <w:sz w:val="24"/>
          <w:szCs w:val="24"/>
        </w:rPr>
        <w:footnoteReference w:id="67"/>
      </w:r>
      <w:r w:rsidRPr="0043224D">
        <w:rPr>
          <w:rFonts w:ascii="Times New Roman" w:hAnsi="Times New Roman" w:cs="Times New Roman"/>
          <w:sz w:val="24"/>
          <w:szCs w:val="24"/>
        </w:rPr>
        <w:t xml:space="preserve"> While on the other</w:t>
      </w:r>
      <w:r w:rsidR="00965FA4" w:rsidRPr="0043224D">
        <w:rPr>
          <w:rFonts w:ascii="Times New Roman" w:hAnsi="Times New Roman" w:cs="Times New Roman"/>
          <w:sz w:val="24"/>
          <w:szCs w:val="24"/>
        </w:rPr>
        <w:t xml:space="preserve"> hand</w:t>
      </w:r>
      <w:r w:rsidRPr="0043224D">
        <w:rPr>
          <w:rFonts w:ascii="Times New Roman" w:hAnsi="Times New Roman" w:cs="Times New Roman"/>
          <w:sz w:val="24"/>
          <w:szCs w:val="24"/>
        </w:rPr>
        <w:t xml:space="preserve"> is the legitimate right of states </w:t>
      </w:r>
      <w:r w:rsidR="00E30BF5" w:rsidRPr="0043224D">
        <w:rPr>
          <w:rFonts w:ascii="Times New Roman" w:hAnsi="Times New Roman" w:cs="Times New Roman"/>
          <w:sz w:val="24"/>
          <w:szCs w:val="24"/>
        </w:rPr>
        <w:t>to develop economically anywhere within the state’s jurisdictional territory</w:t>
      </w:r>
      <w:r w:rsidR="001424F3" w:rsidRPr="0043224D">
        <w:rPr>
          <w:rFonts w:ascii="Times New Roman" w:hAnsi="Times New Roman" w:cs="Times New Roman"/>
          <w:sz w:val="24"/>
          <w:szCs w:val="24"/>
        </w:rPr>
        <w:t>,</w:t>
      </w:r>
      <w:r w:rsidR="000C28F5" w:rsidRPr="0043224D">
        <w:rPr>
          <w:rFonts w:ascii="Times New Roman" w:hAnsi="Times New Roman" w:cs="Times New Roman"/>
          <w:sz w:val="24"/>
          <w:szCs w:val="24"/>
        </w:rPr>
        <w:t xml:space="preserve"> </w:t>
      </w:r>
      <w:r w:rsidR="001424F3" w:rsidRPr="0043224D">
        <w:rPr>
          <w:rFonts w:ascii="Times New Roman" w:hAnsi="Times New Roman" w:cs="Times New Roman"/>
          <w:sz w:val="24"/>
          <w:szCs w:val="24"/>
        </w:rPr>
        <w:t>even</w:t>
      </w:r>
      <w:r w:rsidR="000C28F5" w:rsidRPr="0043224D">
        <w:rPr>
          <w:rFonts w:ascii="Times New Roman" w:hAnsi="Times New Roman" w:cs="Times New Roman"/>
          <w:sz w:val="24"/>
          <w:szCs w:val="24"/>
        </w:rPr>
        <w:t xml:space="preserve"> </w:t>
      </w:r>
      <w:r w:rsidR="00272900" w:rsidRPr="0043224D">
        <w:rPr>
          <w:rFonts w:ascii="Times New Roman" w:hAnsi="Times New Roman" w:cs="Times New Roman"/>
          <w:sz w:val="24"/>
          <w:szCs w:val="24"/>
        </w:rPr>
        <w:t>i</w:t>
      </w:r>
      <w:r w:rsidR="000C28F5" w:rsidRPr="0043224D">
        <w:rPr>
          <w:rFonts w:ascii="Times New Roman" w:hAnsi="Times New Roman" w:cs="Times New Roman"/>
          <w:sz w:val="24"/>
          <w:szCs w:val="24"/>
        </w:rPr>
        <w:t>f this</w:t>
      </w:r>
      <w:r w:rsidR="00E30BF5" w:rsidRPr="0043224D">
        <w:rPr>
          <w:rFonts w:ascii="Times New Roman" w:hAnsi="Times New Roman" w:cs="Times New Roman"/>
          <w:sz w:val="24"/>
          <w:szCs w:val="24"/>
        </w:rPr>
        <w:t xml:space="preserve"> may in turn </w:t>
      </w:r>
      <w:r w:rsidR="000C28F5" w:rsidRPr="0043224D">
        <w:rPr>
          <w:rFonts w:ascii="Times New Roman" w:hAnsi="Times New Roman" w:cs="Times New Roman"/>
          <w:sz w:val="24"/>
          <w:szCs w:val="24"/>
        </w:rPr>
        <w:t>induce</w:t>
      </w:r>
      <w:r w:rsidR="00E30BF5" w:rsidRPr="0043224D">
        <w:rPr>
          <w:rFonts w:ascii="Times New Roman" w:hAnsi="Times New Roman" w:cs="Times New Roman"/>
          <w:sz w:val="24"/>
          <w:szCs w:val="24"/>
        </w:rPr>
        <w:t xml:space="preserve"> displacement</w:t>
      </w:r>
      <w:r w:rsidR="000C28F5" w:rsidRPr="0043224D">
        <w:rPr>
          <w:rFonts w:ascii="Times New Roman" w:hAnsi="Times New Roman" w:cs="Times New Roman"/>
          <w:sz w:val="24"/>
          <w:szCs w:val="24"/>
        </w:rPr>
        <w:t>.</w:t>
      </w:r>
      <w:r w:rsidR="00E30BF5" w:rsidRPr="0043224D">
        <w:rPr>
          <w:rFonts w:ascii="Times New Roman" w:hAnsi="Times New Roman" w:cs="Times New Roman"/>
          <w:sz w:val="24"/>
          <w:szCs w:val="24"/>
        </w:rPr>
        <w:t xml:space="preserve"> </w:t>
      </w:r>
      <w:r w:rsidR="00965FA4" w:rsidRPr="0043224D">
        <w:rPr>
          <w:rFonts w:ascii="Times New Roman" w:hAnsi="Times New Roman" w:cs="Times New Roman"/>
          <w:sz w:val="24"/>
          <w:szCs w:val="24"/>
        </w:rPr>
        <w:t>However</w:t>
      </w:r>
      <w:r w:rsidR="000C28F5" w:rsidRPr="0043224D">
        <w:rPr>
          <w:rFonts w:ascii="Times New Roman" w:hAnsi="Times New Roman" w:cs="Times New Roman"/>
          <w:sz w:val="24"/>
          <w:szCs w:val="24"/>
        </w:rPr>
        <w:t xml:space="preserve"> </w:t>
      </w:r>
      <w:r w:rsidR="00E30BF5" w:rsidRPr="0043224D">
        <w:rPr>
          <w:rFonts w:ascii="Times New Roman" w:hAnsi="Times New Roman" w:cs="Times New Roman"/>
          <w:sz w:val="24"/>
          <w:szCs w:val="24"/>
        </w:rPr>
        <w:t>according to international human rights standards</w:t>
      </w:r>
      <w:r w:rsidR="000C28F5" w:rsidRPr="0043224D">
        <w:rPr>
          <w:rFonts w:ascii="Times New Roman" w:hAnsi="Times New Roman" w:cs="Times New Roman"/>
          <w:sz w:val="24"/>
          <w:szCs w:val="24"/>
        </w:rPr>
        <w:t xml:space="preserve"> it is only permissible to displace </w:t>
      </w:r>
      <w:r w:rsidR="00E30BF5" w:rsidRPr="0043224D">
        <w:rPr>
          <w:rFonts w:ascii="Times New Roman" w:hAnsi="Times New Roman" w:cs="Times New Roman"/>
          <w:sz w:val="24"/>
          <w:szCs w:val="24"/>
        </w:rPr>
        <w:t>when there is a compelling and overriding public interest</w:t>
      </w:r>
      <w:r w:rsidR="000C28F5" w:rsidRPr="0043224D">
        <w:rPr>
          <w:rFonts w:ascii="Times New Roman" w:hAnsi="Times New Roman" w:cs="Times New Roman"/>
          <w:sz w:val="24"/>
          <w:szCs w:val="24"/>
        </w:rPr>
        <w:t>, and if the requirements of necessi</w:t>
      </w:r>
      <w:r w:rsidR="00965FA4" w:rsidRPr="0043224D">
        <w:rPr>
          <w:rFonts w:ascii="Times New Roman" w:hAnsi="Times New Roman" w:cs="Times New Roman"/>
          <w:sz w:val="24"/>
          <w:szCs w:val="24"/>
        </w:rPr>
        <w:t>ty and proportionality are met.</w:t>
      </w:r>
      <w:r w:rsidR="000C28F5" w:rsidRPr="0043224D">
        <w:rPr>
          <w:rStyle w:val="FootnoteReference"/>
          <w:rFonts w:ascii="Times New Roman" w:hAnsi="Times New Roman" w:cs="Times New Roman"/>
          <w:sz w:val="24"/>
          <w:szCs w:val="24"/>
        </w:rPr>
        <w:footnoteReference w:id="68"/>
      </w:r>
      <w:r w:rsidR="000C28F5" w:rsidRPr="0043224D">
        <w:rPr>
          <w:rFonts w:ascii="Times New Roman" w:hAnsi="Times New Roman" w:cs="Times New Roman"/>
          <w:sz w:val="24"/>
          <w:szCs w:val="24"/>
        </w:rPr>
        <w:t xml:space="preserve"> </w:t>
      </w:r>
      <w:r w:rsidRPr="0043224D">
        <w:rPr>
          <w:rFonts w:ascii="Times New Roman" w:hAnsi="Times New Roman" w:cs="Times New Roman"/>
          <w:sz w:val="24"/>
          <w:szCs w:val="24"/>
        </w:rPr>
        <w:t xml:space="preserve"> </w:t>
      </w:r>
      <w:r w:rsidR="000C28F5" w:rsidRPr="0043224D">
        <w:rPr>
          <w:rFonts w:ascii="Times New Roman" w:hAnsi="Times New Roman" w:cs="Times New Roman"/>
          <w:sz w:val="24"/>
          <w:szCs w:val="24"/>
        </w:rPr>
        <w:t xml:space="preserve"> </w:t>
      </w:r>
      <w:r w:rsidR="00272900" w:rsidRPr="0043224D">
        <w:rPr>
          <w:rFonts w:ascii="Times New Roman" w:hAnsi="Times New Roman" w:cs="Times New Roman"/>
          <w:sz w:val="24"/>
          <w:szCs w:val="24"/>
        </w:rPr>
        <w:t xml:space="preserve"> </w:t>
      </w:r>
    </w:p>
    <w:p w:rsidR="006353FE" w:rsidRPr="0043224D" w:rsidRDefault="00A42D96"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To talk of indigenous rights</w:t>
      </w:r>
      <w:r w:rsidR="008C17EB" w:rsidRPr="0043224D">
        <w:rPr>
          <w:rFonts w:ascii="Times New Roman" w:hAnsi="Times New Roman" w:cs="Times New Roman"/>
          <w:sz w:val="24"/>
          <w:szCs w:val="24"/>
        </w:rPr>
        <w:t xml:space="preserve"> therefore</w:t>
      </w:r>
      <w:r w:rsidRPr="0043224D">
        <w:rPr>
          <w:rFonts w:ascii="Times New Roman" w:hAnsi="Times New Roman" w:cs="Times New Roman"/>
          <w:sz w:val="24"/>
          <w:szCs w:val="24"/>
        </w:rPr>
        <w:t xml:space="preserve"> is</w:t>
      </w:r>
      <w:r w:rsidR="00740B17" w:rsidRPr="0043224D">
        <w:rPr>
          <w:rFonts w:ascii="Times New Roman" w:hAnsi="Times New Roman" w:cs="Times New Roman"/>
          <w:sz w:val="24"/>
          <w:szCs w:val="24"/>
        </w:rPr>
        <w:t xml:space="preserve"> largely</w:t>
      </w:r>
      <w:r w:rsidRPr="0043224D">
        <w:rPr>
          <w:rFonts w:ascii="Times New Roman" w:hAnsi="Times New Roman" w:cs="Times New Roman"/>
          <w:sz w:val="24"/>
          <w:szCs w:val="24"/>
        </w:rPr>
        <w:t xml:space="preserve"> to talk in terms of group rights, or as they are known</w:t>
      </w:r>
      <w:r w:rsidR="00DC24E3" w:rsidRPr="0043224D">
        <w:rPr>
          <w:rFonts w:ascii="Times New Roman" w:hAnsi="Times New Roman" w:cs="Times New Roman"/>
          <w:sz w:val="24"/>
          <w:szCs w:val="24"/>
        </w:rPr>
        <w:t xml:space="preserve"> particularly in relation to indigenous peoples</w:t>
      </w:r>
      <w:r w:rsidRPr="0043224D">
        <w:rPr>
          <w:rFonts w:ascii="Times New Roman" w:hAnsi="Times New Roman" w:cs="Times New Roman"/>
          <w:sz w:val="24"/>
          <w:szCs w:val="24"/>
        </w:rPr>
        <w:t xml:space="preserve">: </w:t>
      </w:r>
      <w:r w:rsidR="0060752A" w:rsidRPr="0043224D">
        <w:rPr>
          <w:rFonts w:ascii="Times New Roman" w:hAnsi="Times New Roman" w:cs="Times New Roman"/>
          <w:sz w:val="24"/>
          <w:szCs w:val="24"/>
        </w:rPr>
        <w:t>collective-development rights</w:t>
      </w:r>
      <w:r w:rsidRPr="0043224D">
        <w:rPr>
          <w:rFonts w:ascii="Times New Roman" w:hAnsi="Times New Roman" w:cs="Times New Roman"/>
          <w:sz w:val="24"/>
          <w:szCs w:val="24"/>
        </w:rPr>
        <w:t>.</w:t>
      </w:r>
      <w:r w:rsidR="00D9169A" w:rsidRPr="0043224D">
        <w:rPr>
          <w:rStyle w:val="FootnoteReference"/>
          <w:rFonts w:ascii="Times New Roman" w:hAnsi="Times New Roman" w:cs="Times New Roman"/>
          <w:sz w:val="24"/>
          <w:szCs w:val="24"/>
        </w:rPr>
        <w:footnoteReference w:id="69"/>
      </w:r>
      <w:r w:rsidRPr="0043224D">
        <w:rPr>
          <w:rFonts w:ascii="Times New Roman" w:hAnsi="Times New Roman" w:cs="Times New Roman"/>
          <w:sz w:val="24"/>
          <w:szCs w:val="24"/>
        </w:rPr>
        <w:t xml:space="preserve"> </w:t>
      </w:r>
      <w:r w:rsidR="00D9169A" w:rsidRPr="0043224D">
        <w:rPr>
          <w:rFonts w:ascii="Times New Roman" w:hAnsi="Times New Roman" w:cs="Times New Roman"/>
          <w:sz w:val="24"/>
          <w:szCs w:val="24"/>
        </w:rPr>
        <w:t xml:space="preserve"> </w:t>
      </w:r>
      <w:r w:rsidRPr="0043224D">
        <w:rPr>
          <w:rFonts w:ascii="Times New Roman" w:hAnsi="Times New Roman" w:cs="Times New Roman"/>
          <w:sz w:val="24"/>
          <w:szCs w:val="24"/>
        </w:rPr>
        <w:t>The classic western liberal conception of rights as individual rights although an important feature of</w:t>
      </w:r>
      <w:r w:rsidR="00560387" w:rsidRPr="0043224D">
        <w:rPr>
          <w:rFonts w:ascii="Times New Roman" w:hAnsi="Times New Roman" w:cs="Times New Roman"/>
          <w:sz w:val="24"/>
          <w:szCs w:val="24"/>
        </w:rPr>
        <w:t xml:space="preserve"> the global</w:t>
      </w:r>
      <w:r w:rsidRPr="0043224D">
        <w:rPr>
          <w:rFonts w:ascii="Times New Roman" w:hAnsi="Times New Roman" w:cs="Times New Roman"/>
          <w:sz w:val="24"/>
          <w:szCs w:val="24"/>
        </w:rPr>
        <w:t xml:space="preserve"> indigenous rights framework does not</w:t>
      </w:r>
      <w:r w:rsidR="0040656B" w:rsidRPr="0043224D">
        <w:rPr>
          <w:rFonts w:ascii="Times New Roman" w:hAnsi="Times New Roman" w:cs="Times New Roman"/>
          <w:sz w:val="24"/>
          <w:szCs w:val="24"/>
        </w:rPr>
        <w:t xml:space="preserve"> fully</w:t>
      </w:r>
      <w:r w:rsidRPr="0043224D">
        <w:rPr>
          <w:rFonts w:ascii="Times New Roman" w:hAnsi="Times New Roman" w:cs="Times New Roman"/>
          <w:sz w:val="24"/>
          <w:szCs w:val="24"/>
        </w:rPr>
        <w:t xml:space="preserve"> capture the essence or complexity of the historical and cultural context in which indigenous rights has</w:t>
      </w:r>
      <w:r w:rsidR="008C17EB" w:rsidRPr="0043224D">
        <w:rPr>
          <w:rFonts w:ascii="Times New Roman" w:hAnsi="Times New Roman" w:cs="Times New Roman"/>
          <w:sz w:val="24"/>
          <w:szCs w:val="24"/>
        </w:rPr>
        <w:t>,</w:t>
      </w:r>
      <w:r w:rsidRPr="0043224D">
        <w:rPr>
          <w:rFonts w:ascii="Times New Roman" w:hAnsi="Times New Roman" w:cs="Times New Roman"/>
          <w:sz w:val="24"/>
          <w:szCs w:val="24"/>
        </w:rPr>
        <w:t xml:space="preserve"> and is</w:t>
      </w:r>
      <w:r w:rsidR="008C17EB" w:rsidRPr="0043224D">
        <w:rPr>
          <w:rFonts w:ascii="Times New Roman" w:hAnsi="Times New Roman" w:cs="Times New Roman"/>
          <w:sz w:val="24"/>
          <w:szCs w:val="24"/>
        </w:rPr>
        <w:t>,</w:t>
      </w:r>
      <w:r w:rsidRPr="0043224D">
        <w:rPr>
          <w:rFonts w:ascii="Times New Roman" w:hAnsi="Times New Roman" w:cs="Times New Roman"/>
          <w:sz w:val="24"/>
          <w:szCs w:val="24"/>
        </w:rPr>
        <w:t xml:space="preserve"> being framed.</w:t>
      </w:r>
      <w:r w:rsidR="00025DD9" w:rsidRPr="0043224D">
        <w:rPr>
          <w:rFonts w:ascii="Times New Roman" w:hAnsi="Times New Roman" w:cs="Times New Roman"/>
          <w:sz w:val="24"/>
          <w:szCs w:val="24"/>
        </w:rPr>
        <w:t xml:space="preserve"> Indeed the claim for recognition of collective rights, particular collective land rights, is perceived by states as a threat to the liberal model of individualised rights.</w:t>
      </w:r>
      <w:r w:rsidR="0060752A" w:rsidRPr="0043224D">
        <w:rPr>
          <w:rStyle w:val="FootnoteReference"/>
          <w:rFonts w:ascii="Times New Roman" w:hAnsi="Times New Roman" w:cs="Times New Roman"/>
          <w:sz w:val="24"/>
          <w:szCs w:val="24"/>
        </w:rPr>
        <w:footnoteReference w:id="70"/>
      </w:r>
      <w:r w:rsidRPr="0043224D">
        <w:rPr>
          <w:rFonts w:ascii="Times New Roman" w:hAnsi="Times New Roman" w:cs="Times New Roman"/>
          <w:sz w:val="24"/>
          <w:szCs w:val="24"/>
        </w:rPr>
        <w:t xml:space="preserve">  In</w:t>
      </w:r>
      <w:r w:rsidR="00CA452B" w:rsidRPr="0043224D">
        <w:rPr>
          <w:rFonts w:ascii="Times New Roman" w:hAnsi="Times New Roman" w:cs="Times New Roman"/>
          <w:sz w:val="24"/>
          <w:szCs w:val="24"/>
        </w:rPr>
        <w:t xml:space="preserve"> contrast to understanding rights as individual rights, in</w:t>
      </w:r>
      <w:r w:rsidRPr="0043224D">
        <w:rPr>
          <w:rFonts w:ascii="Times New Roman" w:hAnsi="Times New Roman" w:cs="Times New Roman"/>
          <w:sz w:val="24"/>
          <w:szCs w:val="24"/>
        </w:rPr>
        <w:t xml:space="preserve"> the indigenous app</w:t>
      </w:r>
      <w:r w:rsidR="00560387" w:rsidRPr="0043224D">
        <w:rPr>
          <w:rFonts w:ascii="Times New Roman" w:hAnsi="Times New Roman" w:cs="Times New Roman"/>
          <w:sz w:val="24"/>
          <w:szCs w:val="24"/>
        </w:rPr>
        <w:t xml:space="preserve">roach to human rights </w:t>
      </w:r>
      <w:r w:rsidRPr="0043224D">
        <w:rPr>
          <w:rFonts w:ascii="Times New Roman" w:hAnsi="Times New Roman" w:cs="Times New Roman"/>
          <w:sz w:val="24"/>
          <w:szCs w:val="24"/>
        </w:rPr>
        <w:t xml:space="preserve">it is </w:t>
      </w:r>
      <w:r w:rsidR="00D9169A" w:rsidRPr="0043224D">
        <w:rPr>
          <w:rFonts w:ascii="Times New Roman" w:hAnsi="Times New Roman" w:cs="Times New Roman"/>
          <w:sz w:val="24"/>
          <w:szCs w:val="24"/>
        </w:rPr>
        <w:t xml:space="preserve">necessary </w:t>
      </w:r>
      <w:r w:rsidR="00740B17" w:rsidRPr="0043224D">
        <w:rPr>
          <w:rFonts w:ascii="Times New Roman" w:hAnsi="Times New Roman" w:cs="Times New Roman"/>
          <w:sz w:val="24"/>
          <w:szCs w:val="24"/>
        </w:rPr>
        <w:t xml:space="preserve">instead </w:t>
      </w:r>
      <w:r w:rsidR="00D9169A" w:rsidRPr="0043224D">
        <w:rPr>
          <w:rFonts w:ascii="Times New Roman" w:hAnsi="Times New Roman" w:cs="Times New Roman"/>
          <w:sz w:val="24"/>
          <w:szCs w:val="24"/>
        </w:rPr>
        <w:t xml:space="preserve">to talk of categories that </w:t>
      </w:r>
      <w:r w:rsidR="00560387" w:rsidRPr="0043224D">
        <w:rPr>
          <w:rFonts w:ascii="Times New Roman" w:hAnsi="Times New Roman" w:cs="Times New Roman"/>
          <w:sz w:val="24"/>
          <w:szCs w:val="24"/>
        </w:rPr>
        <w:t>conceptualise</w:t>
      </w:r>
      <w:r w:rsidR="00740B17" w:rsidRPr="0043224D">
        <w:rPr>
          <w:rFonts w:ascii="Times New Roman" w:hAnsi="Times New Roman" w:cs="Times New Roman"/>
          <w:sz w:val="24"/>
          <w:szCs w:val="24"/>
        </w:rPr>
        <w:t xml:space="preserve"> human rights as</w:t>
      </w:r>
      <w:r w:rsidR="00D9169A" w:rsidRPr="0043224D">
        <w:rPr>
          <w:rFonts w:ascii="Times New Roman" w:hAnsi="Times New Roman" w:cs="Times New Roman"/>
          <w:sz w:val="24"/>
          <w:szCs w:val="24"/>
        </w:rPr>
        <w:t xml:space="preserve"> </w:t>
      </w:r>
      <w:r w:rsidR="00560387" w:rsidRPr="0043224D">
        <w:rPr>
          <w:rFonts w:ascii="Times New Roman" w:hAnsi="Times New Roman" w:cs="Times New Roman"/>
          <w:sz w:val="24"/>
          <w:szCs w:val="24"/>
        </w:rPr>
        <w:t>collective or community rights, that is, as</w:t>
      </w:r>
      <w:r w:rsidR="00D9169A" w:rsidRPr="0043224D">
        <w:rPr>
          <w:rFonts w:ascii="Times New Roman" w:hAnsi="Times New Roman" w:cs="Times New Roman"/>
          <w:sz w:val="24"/>
          <w:szCs w:val="24"/>
        </w:rPr>
        <w:t xml:space="preserve"> </w:t>
      </w:r>
      <w:r w:rsidR="00740B17" w:rsidRPr="0043224D">
        <w:rPr>
          <w:rFonts w:ascii="Times New Roman" w:hAnsi="Times New Roman" w:cs="Times New Roman"/>
          <w:sz w:val="24"/>
          <w:szCs w:val="24"/>
        </w:rPr>
        <w:t>the rights</w:t>
      </w:r>
      <w:r w:rsidR="0040656B" w:rsidRPr="0043224D">
        <w:rPr>
          <w:rFonts w:ascii="Times New Roman" w:hAnsi="Times New Roman" w:cs="Times New Roman"/>
          <w:sz w:val="24"/>
          <w:szCs w:val="24"/>
        </w:rPr>
        <w:t xml:space="preserve"> of peoples, and not </w:t>
      </w:r>
      <w:r w:rsidR="00C102D2" w:rsidRPr="0043224D">
        <w:rPr>
          <w:rFonts w:ascii="Times New Roman" w:hAnsi="Times New Roman" w:cs="Times New Roman"/>
          <w:sz w:val="24"/>
          <w:szCs w:val="24"/>
        </w:rPr>
        <w:t xml:space="preserve">just </w:t>
      </w:r>
      <w:r w:rsidR="0040656B" w:rsidRPr="0043224D">
        <w:rPr>
          <w:rFonts w:ascii="Times New Roman" w:hAnsi="Times New Roman" w:cs="Times New Roman"/>
          <w:sz w:val="24"/>
          <w:szCs w:val="24"/>
        </w:rPr>
        <w:t xml:space="preserve">the rights of </w:t>
      </w:r>
      <w:r w:rsidR="00C102D2" w:rsidRPr="0043224D">
        <w:rPr>
          <w:rFonts w:ascii="Times New Roman" w:hAnsi="Times New Roman" w:cs="Times New Roman"/>
          <w:sz w:val="24"/>
          <w:szCs w:val="24"/>
        </w:rPr>
        <w:t>individuals within the collective</w:t>
      </w:r>
      <w:r w:rsidR="006D15E8" w:rsidRPr="0043224D">
        <w:rPr>
          <w:rFonts w:ascii="Times New Roman" w:hAnsi="Times New Roman" w:cs="Times New Roman"/>
          <w:sz w:val="24"/>
          <w:szCs w:val="24"/>
        </w:rPr>
        <w:t xml:space="preserve"> or group</w:t>
      </w:r>
      <w:r w:rsidR="009E532E" w:rsidRPr="0043224D">
        <w:rPr>
          <w:rFonts w:ascii="Times New Roman" w:hAnsi="Times New Roman" w:cs="Times New Roman"/>
          <w:sz w:val="24"/>
          <w:szCs w:val="24"/>
        </w:rPr>
        <w:t xml:space="preserve">  in order to give full expression to those rights</w:t>
      </w:r>
      <w:r w:rsidR="00D9169A" w:rsidRPr="0043224D">
        <w:rPr>
          <w:rFonts w:ascii="Times New Roman" w:hAnsi="Times New Roman" w:cs="Times New Roman"/>
          <w:sz w:val="24"/>
          <w:szCs w:val="24"/>
        </w:rPr>
        <w:t>.</w:t>
      </w:r>
      <w:r w:rsidR="00560387" w:rsidRPr="0043224D">
        <w:rPr>
          <w:rStyle w:val="FootnoteReference"/>
          <w:rFonts w:ascii="Times New Roman" w:hAnsi="Times New Roman" w:cs="Times New Roman"/>
          <w:sz w:val="24"/>
          <w:szCs w:val="24"/>
        </w:rPr>
        <w:footnoteReference w:id="71"/>
      </w:r>
      <w:r w:rsidR="0040656B" w:rsidRPr="0043224D">
        <w:rPr>
          <w:rFonts w:ascii="Times New Roman" w:hAnsi="Times New Roman" w:cs="Times New Roman"/>
          <w:sz w:val="24"/>
          <w:szCs w:val="24"/>
        </w:rPr>
        <w:t xml:space="preserve"> The right of self-determination</w:t>
      </w:r>
      <w:r w:rsidR="00C102D2" w:rsidRPr="0043224D">
        <w:rPr>
          <w:rFonts w:ascii="Times New Roman" w:hAnsi="Times New Roman" w:cs="Times New Roman"/>
          <w:sz w:val="24"/>
          <w:szCs w:val="24"/>
        </w:rPr>
        <w:t xml:space="preserve"> for all peoples</w:t>
      </w:r>
      <w:r w:rsidR="0040656B" w:rsidRPr="0043224D">
        <w:rPr>
          <w:rFonts w:ascii="Times New Roman" w:hAnsi="Times New Roman" w:cs="Times New Roman"/>
          <w:sz w:val="24"/>
          <w:szCs w:val="24"/>
        </w:rPr>
        <w:t>, the foundational right of the International Bill of Human Rights</w:t>
      </w:r>
      <w:r w:rsidR="00C102D2" w:rsidRPr="0043224D">
        <w:rPr>
          <w:rFonts w:ascii="Times New Roman" w:hAnsi="Times New Roman" w:cs="Times New Roman"/>
          <w:sz w:val="24"/>
          <w:szCs w:val="24"/>
        </w:rPr>
        <w:t>,</w:t>
      </w:r>
      <w:r w:rsidR="00C102D2" w:rsidRPr="0043224D">
        <w:rPr>
          <w:rStyle w:val="FootnoteReference"/>
          <w:rFonts w:ascii="Times New Roman" w:hAnsi="Times New Roman" w:cs="Times New Roman"/>
          <w:sz w:val="24"/>
          <w:szCs w:val="24"/>
        </w:rPr>
        <w:footnoteReference w:id="72"/>
      </w:r>
      <w:r w:rsidR="00C102D2" w:rsidRPr="0043224D">
        <w:rPr>
          <w:rFonts w:ascii="Times New Roman" w:hAnsi="Times New Roman" w:cs="Times New Roman"/>
          <w:sz w:val="24"/>
          <w:szCs w:val="24"/>
        </w:rPr>
        <w:t xml:space="preserve"> therefore, given the above logic, </w:t>
      </w:r>
      <w:r w:rsidR="0052620D" w:rsidRPr="0043224D">
        <w:rPr>
          <w:rFonts w:ascii="Times New Roman" w:hAnsi="Times New Roman" w:cs="Times New Roman"/>
          <w:sz w:val="24"/>
          <w:szCs w:val="24"/>
        </w:rPr>
        <w:t>at least in part can</w:t>
      </w:r>
      <w:r w:rsidR="00C102D2" w:rsidRPr="0043224D">
        <w:rPr>
          <w:rFonts w:ascii="Times New Roman" w:hAnsi="Times New Roman" w:cs="Times New Roman"/>
          <w:sz w:val="24"/>
          <w:szCs w:val="24"/>
        </w:rPr>
        <w:t xml:space="preserve"> be understood in these terms as a group right.</w:t>
      </w:r>
      <w:r w:rsidR="00F954FD" w:rsidRPr="0043224D">
        <w:rPr>
          <w:rFonts w:ascii="Times New Roman" w:hAnsi="Times New Roman" w:cs="Times New Roman"/>
          <w:sz w:val="24"/>
          <w:szCs w:val="24"/>
        </w:rPr>
        <w:t xml:space="preserve"> </w:t>
      </w:r>
      <w:r w:rsidR="00D671EF">
        <w:rPr>
          <w:rFonts w:ascii="Times New Roman" w:hAnsi="Times New Roman" w:cs="Times New Roman"/>
          <w:sz w:val="24"/>
          <w:szCs w:val="24"/>
        </w:rPr>
        <w:t>Also</w:t>
      </w:r>
      <w:r w:rsidR="00F954FD" w:rsidRPr="0043224D">
        <w:rPr>
          <w:rFonts w:ascii="Times New Roman" w:hAnsi="Times New Roman" w:cs="Times New Roman"/>
          <w:sz w:val="24"/>
          <w:szCs w:val="24"/>
        </w:rPr>
        <w:t>, i</w:t>
      </w:r>
      <w:r w:rsidR="00F145C3" w:rsidRPr="0043224D">
        <w:rPr>
          <w:rFonts w:ascii="Times New Roman" w:hAnsi="Times New Roman" w:cs="Times New Roman"/>
          <w:sz w:val="24"/>
          <w:szCs w:val="24"/>
        </w:rPr>
        <w:t>n a related context, the Expert Mechanism on the Rights of Indigenous Peoples (hereafter EMRIP), a body established by the UN Human Rights Council in 2007 to provide thematic advice on indigenous issues,</w:t>
      </w:r>
      <w:r w:rsidR="006353FE" w:rsidRPr="0043224D">
        <w:rPr>
          <w:rFonts w:ascii="Times New Roman" w:hAnsi="Times New Roman" w:cs="Times New Roman"/>
          <w:sz w:val="24"/>
          <w:szCs w:val="24"/>
        </w:rPr>
        <w:t xml:space="preserve"> explained the central importance of the</w:t>
      </w:r>
      <w:r w:rsidR="00F954FD" w:rsidRPr="0043224D">
        <w:rPr>
          <w:rFonts w:ascii="Times New Roman" w:hAnsi="Times New Roman" w:cs="Times New Roman"/>
          <w:sz w:val="24"/>
          <w:szCs w:val="24"/>
        </w:rPr>
        <w:t xml:space="preserve"> concept of the</w:t>
      </w:r>
      <w:r w:rsidR="006353FE" w:rsidRPr="0043224D">
        <w:rPr>
          <w:rFonts w:ascii="Times New Roman" w:hAnsi="Times New Roman" w:cs="Times New Roman"/>
          <w:sz w:val="24"/>
          <w:szCs w:val="24"/>
        </w:rPr>
        <w:t xml:space="preserve"> collective to indigenous societies:</w:t>
      </w:r>
    </w:p>
    <w:p w:rsidR="006353FE" w:rsidRPr="0043224D" w:rsidRDefault="006353FE" w:rsidP="0043224D">
      <w:pPr>
        <w:pStyle w:val="Quote"/>
        <w:spacing w:line="360" w:lineRule="auto"/>
        <w:ind w:left="720"/>
        <w:jc w:val="both"/>
        <w:rPr>
          <w:rFonts w:ascii="Times New Roman" w:eastAsia="Times New Roman" w:hAnsi="Times New Roman" w:cs="Times New Roman"/>
          <w:i w:val="0"/>
          <w:color w:val="auto"/>
          <w:sz w:val="24"/>
          <w:szCs w:val="24"/>
          <w:lang w:val="en-AU" w:eastAsia="en-AU"/>
        </w:rPr>
      </w:pPr>
      <w:r w:rsidRPr="0043224D">
        <w:rPr>
          <w:rFonts w:ascii="Times New Roman" w:eastAsia="Times New Roman" w:hAnsi="Times New Roman" w:cs="Times New Roman"/>
          <w:color w:val="auto"/>
          <w:sz w:val="24"/>
          <w:szCs w:val="24"/>
          <w:lang w:val="en-AU" w:eastAsia="en-AU"/>
        </w:rPr>
        <w:t>Values of collective responsibility and respect for elders, ancestors, spirits and the community are often embodied in indigenous cultures, which can guide indigenous individuals’ behaviour in everyday life … Indigenous peoples have unique structures and institutions that have developed over time. These structures often have family as a primary unit, expanding to larger communal and social institutions, and are generally governed by indigenous law and sacred teachings.</w:t>
      </w:r>
      <w:r w:rsidRPr="0043224D">
        <w:rPr>
          <w:rStyle w:val="FootnoteReference"/>
          <w:rFonts w:ascii="Times New Roman" w:eastAsia="Times New Roman" w:hAnsi="Times New Roman" w:cs="Times New Roman"/>
          <w:color w:val="auto"/>
          <w:sz w:val="24"/>
          <w:szCs w:val="24"/>
          <w:lang w:val="en-AU" w:eastAsia="en-AU"/>
        </w:rPr>
        <w:footnoteReference w:id="73"/>
      </w:r>
    </w:p>
    <w:p w:rsidR="00711491" w:rsidRPr="001066E8" w:rsidRDefault="001066E8" w:rsidP="0043224D">
      <w:pPr>
        <w:pStyle w:val="Heading2"/>
        <w:spacing w:line="360" w:lineRule="auto"/>
      </w:pPr>
      <w:bookmarkStart w:id="21" w:name="_Toc399848354"/>
      <w:r w:rsidRPr="001066E8">
        <w:t xml:space="preserve">3.3 </w:t>
      </w:r>
      <w:r w:rsidR="0052620D" w:rsidRPr="001066E8">
        <w:t>Development as “Aggression” and the Right not to be</w:t>
      </w:r>
      <w:r w:rsidR="003E34A8">
        <w:t xml:space="preserve"> Forcibly D</w:t>
      </w:r>
      <w:r w:rsidR="003E34A8" w:rsidRPr="001066E8">
        <w:t>isplaced</w:t>
      </w:r>
      <w:bookmarkEnd w:id="21"/>
      <w:r w:rsidR="009D6EE2">
        <w:t xml:space="preserve"> </w:t>
      </w:r>
    </w:p>
    <w:p w:rsidR="00D9169A" w:rsidRPr="0043224D" w:rsidRDefault="00740B17"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As </w:t>
      </w:r>
      <w:r w:rsidR="003B7C15" w:rsidRPr="0043224D">
        <w:rPr>
          <w:rFonts w:ascii="Times New Roman" w:hAnsi="Times New Roman" w:cs="Times New Roman"/>
          <w:sz w:val="24"/>
          <w:szCs w:val="24"/>
        </w:rPr>
        <w:t xml:space="preserve">will be </w:t>
      </w:r>
      <w:r w:rsidRPr="0043224D">
        <w:rPr>
          <w:rFonts w:ascii="Times New Roman" w:hAnsi="Times New Roman" w:cs="Times New Roman"/>
          <w:sz w:val="24"/>
          <w:szCs w:val="24"/>
        </w:rPr>
        <w:t>apparent in many of the cases dis</w:t>
      </w:r>
      <w:r w:rsidR="00560387" w:rsidRPr="0043224D">
        <w:rPr>
          <w:rFonts w:ascii="Times New Roman" w:hAnsi="Times New Roman" w:cs="Times New Roman"/>
          <w:sz w:val="24"/>
          <w:szCs w:val="24"/>
        </w:rPr>
        <w:t>c</w:t>
      </w:r>
      <w:r w:rsidRPr="0043224D">
        <w:rPr>
          <w:rFonts w:ascii="Times New Roman" w:hAnsi="Times New Roman" w:cs="Times New Roman"/>
          <w:sz w:val="24"/>
          <w:szCs w:val="24"/>
        </w:rPr>
        <w:t>us</w:t>
      </w:r>
      <w:r w:rsidR="00560387" w:rsidRPr="0043224D">
        <w:rPr>
          <w:rFonts w:ascii="Times New Roman" w:hAnsi="Times New Roman" w:cs="Times New Roman"/>
          <w:sz w:val="24"/>
          <w:szCs w:val="24"/>
        </w:rPr>
        <w:t>sed in this thesis,</w:t>
      </w:r>
      <w:r w:rsidR="008C17EB" w:rsidRPr="0043224D">
        <w:rPr>
          <w:rFonts w:ascii="Times New Roman" w:hAnsi="Times New Roman" w:cs="Times New Roman"/>
          <w:sz w:val="24"/>
          <w:szCs w:val="24"/>
        </w:rPr>
        <w:t xml:space="preserve"> including the case discussed</w:t>
      </w:r>
      <w:r w:rsidR="00DC24E3" w:rsidRPr="0043224D">
        <w:rPr>
          <w:rFonts w:ascii="Times New Roman" w:hAnsi="Times New Roman" w:cs="Times New Roman"/>
          <w:sz w:val="24"/>
          <w:szCs w:val="24"/>
        </w:rPr>
        <w:t xml:space="preserve"> just</w:t>
      </w:r>
      <w:r w:rsidR="008C17EB" w:rsidRPr="0043224D">
        <w:rPr>
          <w:rFonts w:ascii="Times New Roman" w:hAnsi="Times New Roman" w:cs="Times New Roman"/>
          <w:sz w:val="24"/>
          <w:szCs w:val="24"/>
        </w:rPr>
        <w:t xml:space="preserve"> below,</w:t>
      </w:r>
      <w:r w:rsidR="00560387" w:rsidRPr="0043224D">
        <w:rPr>
          <w:rFonts w:ascii="Times New Roman" w:hAnsi="Times New Roman" w:cs="Times New Roman"/>
          <w:sz w:val="24"/>
          <w:szCs w:val="24"/>
        </w:rPr>
        <w:t xml:space="preserve"> indigenous rights</w:t>
      </w:r>
      <w:r w:rsidRPr="0043224D">
        <w:rPr>
          <w:rFonts w:ascii="Times New Roman" w:hAnsi="Times New Roman" w:cs="Times New Roman"/>
          <w:sz w:val="24"/>
          <w:szCs w:val="24"/>
        </w:rPr>
        <w:t xml:space="preserve"> are</w:t>
      </w:r>
      <w:r w:rsidR="00560387" w:rsidRPr="0043224D">
        <w:rPr>
          <w:rFonts w:ascii="Times New Roman" w:hAnsi="Times New Roman" w:cs="Times New Roman"/>
          <w:sz w:val="24"/>
          <w:szCs w:val="24"/>
        </w:rPr>
        <w:t xml:space="preserve"> </w:t>
      </w:r>
      <w:r w:rsidR="008C17EB" w:rsidRPr="0043224D">
        <w:rPr>
          <w:rFonts w:ascii="Times New Roman" w:hAnsi="Times New Roman" w:cs="Times New Roman"/>
          <w:sz w:val="24"/>
          <w:szCs w:val="24"/>
        </w:rPr>
        <w:t>principally</w:t>
      </w:r>
      <w:r w:rsidR="00560387" w:rsidRPr="0043224D">
        <w:rPr>
          <w:rFonts w:ascii="Times New Roman" w:hAnsi="Times New Roman" w:cs="Times New Roman"/>
          <w:sz w:val="24"/>
          <w:szCs w:val="24"/>
        </w:rPr>
        <w:t xml:space="preserve"> </w:t>
      </w:r>
      <w:r w:rsidRPr="0043224D">
        <w:rPr>
          <w:rFonts w:ascii="Times New Roman" w:hAnsi="Times New Roman" w:cs="Times New Roman"/>
          <w:sz w:val="24"/>
          <w:szCs w:val="24"/>
        </w:rPr>
        <w:t>understood as social, economic and cultural rights.</w:t>
      </w:r>
      <w:r w:rsidR="00CA452B" w:rsidRPr="0043224D">
        <w:rPr>
          <w:rFonts w:ascii="Times New Roman" w:hAnsi="Times New Roman" w:cs="Times New Roman"/>
          <w:sz w:val="24"/>
          <w:szCs w:val="24"/>
        </w:rPr>
        <w:t xml:space="preserve"> The collective </w:t>
      </w:r>
      <w:r w:rsidR="00427059" w:rsidRPr="0043224D">
        <w:rPr>
          <w:rFonts w:ascii="Times New Roman" w:hAnsi="Times New Roman" w:cs="Times New Roman"/>
          <w:sz w:val="24"/>
          <w:szCs w:val="24"/>
        </w:rPr>
        <w:t>rights of indigenous peoples are</w:t>
      </w:r>
      <w:r w:rsidR="00CA452B" w:rsidRPr="0043224D">
        <w:rPr>
          <w:rFonts w:ascii="Times New Roman" w:hAnsi="Times New Roman" w:cs="Times New Roman"/>
          <w:sz w:val="24"/>
          <w:szCs w:val="24"/>
        </w:rPr>
        <w:t xml:space="preserve"> therefore premised on them having an internal cultural cohesiveness </w:t>
      </w:r>
      <w:r w:rsidR="003B7C15" w:rsidRPr="0043224D">
        <w:rPr>
          <w:rFonts w:ascii="Times New Roman" w:hAnsi="Times New Roman" w:cs="Times New Roman"/>
          <w:sz w:val="24"/>
          <w:szCs w:val="24"/>
        </w:rPr>
        <w:t xml:space="preserve">based on their distinctiveness, which is the defining characteristic on which they base their claims to collective rights.  </w:t>
      </w:r>
      <w:r w:rsidR="00CA452B" w:rsidRPr="0043224D">
        <w:rPr>
          <w:rFonts w:ascii="Times New Roman" w:hAnsi="Times New Roman" w:cs="Times New Roman"/>
          <w:sz w:val="24"/>
          <w:szCs w:val="24"/>
        </w:rPr>
        <w:t xml:space="preserve">   </w:t>
      </w:r>
      <w:r w:rsidRPr="0043224D">
        <w:rPr>
          <w:rFonts w:ascii="Times New Roman" w:hAnsi="Times New Roman" w:cs="Times New Roman"/>
          <w:sz w:val="24"/>
          <w:szCs w:val="24"/>
        </w:rPr>
        <w:t xml:space="preserve">   </w:t>
      </w:r>
    </w:p>
    <w:p w:rsidR="00965FA4" w:rsidRPr="0043224D" w:rsidRDefault="00B628E4" w:rsidP="00060EEC">
      <w:pPr>
        <w:spacing w:line="360" w:lineRule="auto"/>
        <w:ind w:firstLine="720"/>
        <w:rPr>
          <w:rFonts w:ascii="Times New Roman" w:hAnsi="Times New Roman" w:cs="Times New Roman"/>
          <w:sz w:val="24"/>
          <w:szCs w:val="24"/>
          <w:shd w:val="clear" w:color="auto" w:fill="FFFFFF"/>
        </w:rPr>
      </w:pPr>
      <w:r w:rsidRPr="0043224D">
        <w:rPr>
          <w:rFonts w:ascii="Times New Roman" w:hAnsi="Times New Roman" w:cs="Times New Roman"/>
          <w:color w:val="222222"/>
          <w:sz w:val="24"/>
          <w:szCs w:val="24"/>
          <w:shd w:val="clear" w:color="auto" w:fill="FFFFFF"/>
        </w:rPr>
        <w:t>In the case of indigenous peoples, if collective rights</w:t>
      </w:r>
      <w:r w:rsidR="0075380C" w:rsidRPr="0043224D">
        <w:rPr>
          <w:rFonts w:ascii="Times New Roman" w:hAnsi="Times New Roman" w:cs="Times New Roman"/>
          <w:color w:val="222222"/>
          <w:sz w:val="24"/>
          <w:szCs w:val="24"/>
          <w:shd w:val="clear" w:color="auto" w:fill="FFFFFF"/>
        </w:rPr>
        <w:t xml:space="preserve"> and claims over territories</w:t>
      </w:r>
      <w:r w:rsidRPr="0043224D">
        <w:rPr>
          <w:rFonts w:ascii="Times New Roman" w:hAnsi="Times New Roman" w:cs="Times New Roman"/>
          <w:color w:val="222222"/>
          <w:sz w:val="24"/>
          <w:szCs w:val="24"/>
          <w:shd w:val="clear" w:color="auto" w:fill="FFFFFF"/>
        </w:rPr>
        <w:t xml:space="preserve"> are not recognised </w:t>
      </w:r>
      <w:r w:rsidR="00D7299D" w:rsidRPr="0043224D">
        <w:rPr>
          <w:rFonts w:ascii="Times New Roman" w:hAnsi="Times New Roman" w:cs="Times New Roman"/>
          <w:color w:val="222222"/>
          <w:sz w:val="24"/>
          <w:szCs w:val="24"/>
          <w:shd w:val="clear" w:color="auto" w:fill="FFFFFF"/>
        </w:rPr>
        <w:t>by states</w:t>
      </w:r>
      <w:r w:rsidR="00C102D2" w:rsidRPr="0043224D">
        <w:rPr>
          <w:rFonts w:ascii="Times New Roman" w:hAnsi="Times New Roman" w:cs="Times New Roman"/>
          <w:color w:val="222222"/>
          <w:sz w:val="24"/>
          <w:szCs w:val="24"/>
          <w:shd w:val="clear" w:color="auto" w:fill="FFFFFF"/>
        </w:rPr>
        <w:t xml:space="preserve">, </w:t>
      </w:r>
      <w:r w:rsidR="00D7299D" w:rsidRPr="0043224D">
        <w:rPr>
          <w:rFonts w:ascii="Times New Roman" w:hAnsi="Times New Roman" w:cs="Times New Roman"/>
          <w:color w:val="222222"/>
          <w:sz w:val="24"/>
          <w:szCs w:val="24"/>
          <w:shd w:val="clear" w:color="auto" w:fill="FFFFFF"/>
        </w:rPr>
        <w:t xml:space="preserve">long-held </w:t>
      </w:r>
      <w:r w:rsidRPr="0043224D">
        <w:rPr>
          <w:rFonts w:ascii="Times New Roman" w:hAnsi="Times New Roman" w:cs="Times New Roman"/>
          <w:color w:val="222222"/>
          <w:sz w:val="24"/>
          <w:szCs w:val="24"/>
          <w:shd w:val="clear" w:color="auto" w:fill="FFFFFF"/>
        </w:rPr>
        <w:t>customary rights of pastoralists to graze animals</w:t>
      </w:r>
      <w:r w:rsidR="00D7299D" w:rsidRPr="0043224D">
        <w:rPr>
          <w:rFonts w:ascii="Times New Roman" w:hAnsi="Times New Roman" w:cs="Times New Roman"/>
          <w:color w:val="222222"/>
          <w:sz w:val="24"/>
          <w:szCs w:val="24"/>
          <w:shd w:val="clear" w:color="auto" w:fill="FFFFFF"/>
        </w:rPr>
        <w:t xml:space="preserve"> for example</w:t>
      </w:r>
      <w:r w:rsidR="00C102D2" w:rsidRPr="0043224D">
        <w:rPr>
          <w:rFonts w:ascii="Times New Roman" w:hAnsi="Times New Roman" w:cs="Times New Roman"/>
          <w:color w:val="222222"/>
          <w:sz w:val="24"/>
          <w:szCs w:val="24"/>
          <w:shd w:val="clear" w:color="auto" w:fill="FFFFFF"/>
        </w:rPr>
        <w:t xml:space="preserve">, </w:t>
      </w:r>
      <w:r w:rsidR="00D7299D" w:rsidRPr="0043224D">
        <w:rPr>
          <w:rFonts w:ascii="Times New Roman" w:hAnsi="Times New Roman" w:cs="Times New Roman"/>
          <w:color w:val="222222"/>
          <w:sz w:val="24"/>
          <w:szCs w:val="24"/>
          <w:shd w:val="clear" w:color="auto" w:fill="FFFFFF"/>
        </w:rPr>
        <w:t>much of the physical and socio-cultural basis of their societies are rendered</w:t>
      </w:r>
      <w:r w:rsidR="00E13057" w:rsidRPr="0043224D">
        <w:rPr>
          <w:rFonts w:ascii="Times New Roman" w:hAnsi="Times New Roman" w:cs="Times New Roman"/>
          <w:color w:val="222222"/>
          <w:sz w:val="24"/>
          <w:szCs w:val="24"/>
          <w:shd w:val="clear" w:color="auto" w:fill="FFFFFF"/>
        </w:rPr>
        <w:t xml:space="preserve"> difficult</w:t>
      </w:r>
      <w:r w:rsidR="0011748C" w:rsidRPr="0043224D">
        <w:rPr>
          <w:rFonts w:ascii="Times New Roman" w:hAnsi="Times New Roman" w:cs="Times New Roman"/>
          <w:color w:val="222222"/>
          <w:sz w:val="24"/>
          <w:szCs w:val="24"/>
          <w:shd w:val="clear" w:color="auto" w:fill="FFFFFF"/>
        </w:rPr>
        <w:t xml:space="preserve"> if not impossible</w:t>
      </w:r>
      <w:r w:rsidR="00272900" w:rsidRPr="0043224D">
        <w:rPr>
          <w:rFonts w:ascii="Times New Roman" w:hAnsi="Times New Roman" w:cs="Times New Roman"/>
          <w:color w:val="222222"/>
          <w:sz w:val="24"/>
          <w:szCs w:val="24"/>
          <w:shd w:val="clear" w:color="auto" w:fill="FFFFFF"/>
        </w:rPr>
        <w:t xml:space="preserve"> to sustain</w:t>
      </w:r>
      <w:r w:rsidR="00D7299D" w:rsidRPr="0043224D">
        <w:rPr>
          <w:rFonts w:ascii="Times New Roman" w:hAnsi="Times New Roman" w:cs="Times New Roman"/>
          <w:color w:val="222222"/>
          <w:sz w:val="24"/>
          <w:szCs w:val="24"/>
          <w:shd w:val="clear" w:color="auto" w:fill="FFFFFF"/>
        </w:rPr>
        <w:t>.</w:t>
      </w:r>
      <w:r w:rsidR="00E13057" w:rsidRPr="0043224D">
        <w:rPr>
          <w:rFonts w:ascii="Times New Roman" w:hAnsi="Times New Roman" w:cs="Times New Roman"/>
          <w:color w:val="222222"/>
          <w:sz w:val="24"/>
          <w:szCs w:val="24"/>
          <w:shd w:val="clear" w:color="auto" w:fill="FFFFFF"/>
        </w:rPr>
        <w:t xml:space="preserve"> </w:t>
      </w:r>
      <w:r w:rsidR="00965FA4" w:rsidRPr="0043224D">
        <w:rPr>
          <w:rFonts w:ascii="Times New Roman" w:hAnsi="Times New Roman" w:cs="Times New Roman"/>
          <w:color w:val="222222"/>
          <w:sz w:val="24"/>
          <w:szCs w:val="24"/>
          <w:shd w:val="clear" w:color="auto" w:fill="FFFFFF"/>
        </w:rPr>
        <w:t xml:space="preserve">These very issues came to the fore in a </w:t>
      </w:r>
      <w:r w:rsidR="00965FA4" w:rsidRPr="0043224D">
        <w:rPr>
          <w:rFonts w:ascii="Times New Roman" w:hAnsi="Times New Roman" w:cs="Times New Roman"/>
          <w:sz w:val="24"/>
          <w:szCs w:val="24"/>
        </w:rPr>
        <w:t>landmark case in</w:t>
      </w:r>
      <w:r w:rsidR="0011748C" w:rsidRPr="0043224D">
        <w:rPr>
          <w:rFonts w:ascii="Times New Roman" w:hAnsi="Times New Roman" w:cs="Times New Roman"/>
          <w:sz w:val="24"/>
          <w:szCs w:val="24"/>
        </w:rPr>
        <w:t xml:space="preserve"> Kenya in</w:t>
      </w:r>
      <w:r w:rsidR="00965FA4" w:rsidRPr="0043224D">
        <w:rPr>
          <w:rFonts w:ascii="Times New Roman" w:hAnsi="Times New Roman" w:cs="Times New Roman"/>
          <w:sz w:val="24"/>
          <w:szCs w:val="24"/>
        </w:rPr>
        <w:t xml:space="preserve"> 2010 concerning indigenous displa</w:t>
      </w:r>
      <w:r w:rsidR="0011748C" w:rsidRPr="0043224D">
        <w:rPr>
          <w:rFonts w:ascii="Times New Roman" w:hAnsi="Times New Roman" w:cs="Times New Roman"/>
          <w:sz w:val="24"/>
          <w:szCs w:val="24"/>
        </w:rPr>
        <w:t>cement</w:t>
      </w:r>
      <w:r w:rsidR="00484053" w:rsidRPr="0043224D">
        <w:rPr>
          <w:rFonts w:ascii="Times New Roman" w:hAnsi="Times New Roman" w:cs="Times New Roman"/>
          <w:sz w:val="24"/>
          <w:szCs w:val="24"/>
        </w:rPr>
        <w:t xml:space="preserve">, specifically a group of </w:t>
      </w:r>
      <w:r w:rsidR="003975FA" w:rsidRPr="0043224D">
        <w:rPr>
          <w:rFonts w:ascii="Times New Roman" w:hAnsi="Times New Roman" w:cs="Times New Roman"/>
          <w:sz w:val="24"/>
          <w:szCs w:val="24"/>
        </w:rPr>
        <w:t>pastoralists</w:t>
      </w:r>
      <w:r w:rsidR="00484053" w:rsidRPr="0043224D">
        <w:rPr>
          <w:rFonts w:ascii="Times New Roman" w:hAnsi="Times New Roman" w:cs="Times New Roman"/>
          <w:sz w:val="24"/>
          <w:szCs w:val="24"/>
        </w:rPr>
        <w:t>,</w:t>
      </w:r>
      <w:r w:rsidR="0011748C" w:rsidRPr="0043224D">
        <w:rPr>
          <w:rFonts w:ascii="Times New Roman" w:hAnsi="Times New Roman" w:cs="Times New Roman"/>
          <w:sz w:val="24"/>
          <w:szCs w:val="24"/>
        </w:rPr>
        <w:t xml:space="preserve"> by a development project. Although the case did not involve either mining or dam induced displacement, nonetheless the ruling is of important significance for the issues discussed here. In</w:t>
      </w:r>
      <w:r w:rsidR="00965FA4" w:rsidRPr="0043224D">
        <w:rPr>
          <w:rFonts w:ascii="Times New Roman" w:hAnsi="Times New Roman" w:cs="Times New Roman"/>
          <w:sz w:val="24"/>
          <w:szCs w:val="24"/>
        </w:rPr>
        <w:t xml:space="preserve"> </w:t>
      </w:r>
      <w:r w:rsidR="00965FA4" w:rsidRPr="0043224D">
        <w:rPr>
          <w:rFonts w:ascii="Times New Roman" w:hAnsi="Times New Roman" w:cs="Times New Roman"/>
          <w:i/>
          <w:sz w:val="24"/>
          <w:szCs w:val="24"/>
        </w:rPr>
        <w:t xml:space="preserve">The </w:t>
      </w:r>
      <w:r w:rsidR="00965FA4" w:rsidRPr="0043224D">
        <w:rPr>
          <w:rFonts w:ascii="Times New Roman" w:hAnsi="Times New Roman" w:cs="Times New Roman"/>
          <w:i/>
          <w:sz w:val="24"/>
          <w:szCs w:val="24"/>
          <w:shd w:val="clear" w:color="auto" w:fill="FFFFFF"/>
        </w:rPr>
        <w:t xml:space="preserve">Centre for Minority Rights Development (Kenya) and Minority Rights Group International on behalf of Endorois Welfare Council v Kenya, </w:t>
      </w:r>
      <w:r w:rsidR="00965FA4" w:rsidRPr="0043224D">
        <w:rPr>
          <w:rFonts w:ascii="Times New Roman" w:hAnsi="Times New Roman" w:cs="Times New Roman"/>
          <w:sz w:val="24"/>
          <w:szCs w:val="24"/>
          <w:shd w:val="clear" w:color="auto" w:fill="FFFFFF"/>
        </w:rPr>
        <w:t xml:space="preserve">The African Commission on Human Rights and Peoples Rights </w:t>
      </w:r>
      <w:r w:rsidR="00D733F5" w:rsidRPr="0043224D">
        <w:rPr>
          <w:rFonts w:ascii="Times New Roman" w:hAnsi="Times New Roman" w:cs="Times New Roman"/>
          <w:sz w:val="24"/>
          <w:szCs w:val="24"/>
          <w:shd w:val="clear" w:color="auto" w:fill="FFFFFF"/>
        </w:rPr>
        <w:t>(h</w:t>
      </w:r>
      <w:r w:rsidR="00D517C7" w:rsidRPr="0043224D">
        <w:rPr>
          <w:rFonts w:ascii="Times New Roman" w:hAnsi="Times New Roman" w:cs="Times New Roman"/>
          <w:sz w:val="24"/>
          <w:szCs w:val="24"/>
          <w:shd w:val="clear" w:color="auto" w:fill="FFFFFF"/>
        </w:rPr>
        <w:t>ere</w:t>
      </w:r>
      <w:r w:rsidR="00D733F5" w:rsidRPr="0043224D">
        <w:rPr>
          <w:rFonts w:ascii="Times New Roman" w:hAnsi="Times New Roman" w:cs="Times New Roman"/>
          <w:sz w:val="24"/>
          <w:szCs w:val="24"/>
          <w:shd w:val="clear" w:color="auto" w:fill="FFFFFF"/>
        </w:rPr>
        <w:t>afte</w:t>
      </w:r>
      <w:r w:rsidR="00D733F5" w:rsidRPr="0043224D">
        <w:rPr>
          <w:rFonts w:ascii="Times New Roman" w:hAnsi="Times New Roman" w:cs="Times New Roman"/>
          <w:b/>
          <w:sz w:val="24"/>
          <w:szCs w:val="24"/>
          <w:shd w:val="clear" w:color="auto" w:fill="FFFFFF"/>
        </w:rPr>
        <w:t>r</w:t>
      </w:r>
      <w:r w:rsidR="00D733F5" w:rsidRPr="0043224D">
        <w:rPr>
          <w:rFonts w:ascii="Times New Roman" w:hAnsi="Times New Roman" w:cs="Times New Roman"/>
          <w:sz w:val="24"/>
          <w:szCs w:val="24"/>
          <w:shd w:val="clear" w:color="auto" w:fill="FFFFFF"/>
        </w:rPr>
        <w:t xml:space="preserve"> ACHPR) </w:t>
      </w:r>
      <w:r w:rsidR="00965FA4" w:rsidRPr="0043224D">
        <w:rPr>
          <w:rFonts w:ascii="Times New Roman" w:hAnsi="Times New Roman" w:cs="Times New Roman"/>
          <w:sz w:val="24"/>
          <w:szCs w:val="24"/>
          <w:shd w:val="clear" w:color="auto" w:fill="FFFFFF"/>
        </w:rPr>
        <w:t>ruled that the development-induced displacement of the Endorois community,</w:t>
      </w:r>
      <w:r w:rsidR="005A12C3" w:rsidRPr="0043224D">
        <w:rPr>
          <w:rFonts w:ascii="Times New Roman" w:hAnsi="Times New Roman" w:cs="Times New Roman"/>
          <w:sz w:val="24"/>
          <w:szCs w:val="24"/>
          <w:shd w:val="clear" w:color="auto" w:fill="FFFFFF"/>
        </w:rPr>
        <w:t xml:space="preserve"> an indigenous nomadic peoples,</w:t>
      </w:r>
      <w:r w:rsidR="00965FA4" w:rsidRPr="0043224D">
        <w:rPr>
          <w:rFonts w:ascii="Times New Roman" w:hAnsi="Times New Roman" w:cs="Times New Roman"/>
          <w:sz w:val="24"/>
          <w:szCs w:val="24"/>
          <w:shd w:val="clear" w:color="auto" w:fill="FFFFFF"/>
        </w:rPr>
        <w:t xml:space="preserve"> who had previously been evicted decades before to make way for a </w:t>
      </w:r>
      <w:r w:rsidR="00642984" w:rsidRPr="0043224D">
        <w:rPr>
          <w:rFonts w:ascii="Times New Roman" w:hAnsi="Times New Roman" w:cs="Times New Roman"/>
          <w:sz w:val="24"/>
          <w:szCs w:val="24"/>
          <w:shd w:val="clear" w:color="auto" w:fill="FFFFFF"/>
        </w:rPr>
        <w:t>game</w:t>
      </w:r>
      <w:r w:rsidR="00965FA4" w:rsidRPr="0043224D">
        <w:rPr>
          <w:rFonts w:ascii="Times New Roman" w:hAnsi="Times New Roman" w:cs="Times New Roman"/>
          <w:sz w:val="24"/>
          <w:szCs w:val="24"/>
          <w:shd w:val="clear" w:color="auto" w:fill="FFFFFF"/>
        </w:rPr>
        <w:t xml:space="preserve"> reserve, was illegal.</w:t>
      </w:r>
      <w:r w:rsidR="00965FA4" w:rsidRPr="0043224D">
        <w:rPr>
          <w:rStyle w:val="FootnoteReference"/>
          <w:rFonts w:ascii="Times New Roman" w:hAnsi="Times New Roman" w:cs="Times New Roman"/>
          <w:color w:val="222222"/>
          <w:sz w:val="24"/>
          <w:szCs w:val="24"/>
          <w:shd w:val="clear" w:color="auto" w:fill="FFFFFF"/>
        </w:rPr>
        <w:footnoteReference w:id="74"/>
      </w:r>
      <w:r w:rsidR="00B1318F" w:rsidRPr="0043224D">
        <w:rPr>
          <w:rFonts w:ascii="Times New Roman" w:hAnsi="Times New Roman" w:cs="Times New Roman"/>
          <w:sz w:val="24"/>
          <w:szCs w:val="24"/>
          <w:shd w:val="clear" w:color="auto" w:fill="FFFFFF"/>
        </w:rPr>
        <w:t xml:space="preserve"> The commission found that Kenya was in violation, amongst other violations, of Article 14 of the African Charter </w:t>
      </w:r>
      <w:r w:rsidR="00BE65ED" w:rsidRPr="0043224D">
        <w:rPr>
          <w:rFonts w:ascii="Times New Roman" w:hAnsi="Times New Roman" w:cs="Times New Roman"/>
          <w:sz w:val="24"/>
          <w:szCs w:val="24"/>
          <w:shd w:val="clear" w:color="auto" w:fill="FFFFFF"/>
        </w:rPr>
        <w:t>(Right</w:t>
      </w:r>
      <w:r w:rsidR="00B1318F" w:rsidRPr="0043224D">
        <w:rPr>
          <w:rFonts w:ascii="Times New Roman" w:hAnsi="Times New Roman" w:cs="Times New Roman"/>
          <w:sz w:val="24"/>
          <w:szCs w:val="24"/>
          <w:shd w:val="clear" w:color="auto" w:fill="FFFFFF"/>
        </w:rPr>
        <w:t xml:space="preserve"> to property).</w:t>
      </w:r>
      <w:r w:rsidR="00B1318F" w:rsidRPr="0043224D">
        <w:rPr>
          <w:rStyle w:val="FootnoteReference"/>
          <w:rFonts w:ascii="Times New Roman" w:hAnsi="Times New Roman" w:cs="Times New Roman"/>
          <w:sz w:val="24"/>
          <w:szCs w:val="24"/>
          <w:shd w:val="clear" w:color="auto" w:fill="FFFFFF"/>
        </w:rPr>
        <w:footnoteReference w:id="75"/>
      </w:r>
      <w:r w:rsidR="0011748C" w:rsidRPr="0043224D">
        <w:rPr>
          <w:rFonts w:ascii="Times New Roman" w:hAnsi="Times New Roman" w:cs="Times New Roman"/>
          <w:sz w:val="24"/>
          <w:szCs w:val="24"/>
          <w:shd w:val="clear" w:color="auto" w:fill="FFFFFF"/>
        </w:rPr>
        <w:t xml:space="preserve"> </w:t>
      </w:r>
      <w:r w:rsidR="003975FA" w:rsidRPr="0043224D">
        <w:rPr>
          <w:rFonts w:ascii="Times New Roman" w:hAnsi="Times New Roman" w:cs="Times New Roman"/>
          <w:sz w:val="24"/>
          <w:szCs w:val="24"/>
          <w:shd w:val="clear" w:color="auto" w:fill="FFFFFF"/>
        </w:rPr>
        <w:t>In light of the finding</w:t>
      </w:r>
      <w:r w:rsidR="0011748C" w:rsidRPr="0043224D">
        <w:rPr>
          <w:rFonts w:ascii="Times New Roman" w:hAnsi="Times New Roman" w:cs="Times New Roman"/>
          <w:sz w:val="24"/>
          <w:szCs w:val="24"/>
          <w:shd w:val="clear" w:color="auto" w:fill="FFFFFF"/>
        </w:rPr>
        <w:t>, the Commission</w:t>
      </w:r>
      <w:r w:rsidR="00B1318F" w:rsidRPr="0043224D">
        <w:rPr>
          <w:rFonts w:ascii="Times New Roman" w:hAnsi="Times New Roman" w:cs="Times New Roman"/>
          <w:sz w:val="24"/>
          <w:szCs w:val="24"/>
          <w:shd w:val="clear" w:color="auto" w:fill="FFFFFF"/>
        </w:rPr>
        <w:t xml:space="preserve"> recommended</w:t>
      </w:r>
      <w:r w:rsidR="0011748C" w:rsidRPr="0043224D">
        <w:rPr>
          <w:rFonts w:ascii="Times New Roman" w:hAnsi="Times New Roman" w:cs="Times New Roman"/>
          <w:sz w:val="24"/>
          <w:szCs w:val="24"/>
          <w:shd w:val="clear" w:color="auto" w:fill="FFFFFF"/>
        </w:rPr>
        <w:t xml:space="preserve"> that Kenya should recognise</w:t>
      </w:r>
      <w:r w:rsidR="00B1318F" w:rsidRPr="0043224D">
        <w:rPr>
          <w:rFonts w:ascii="Times New Roman" w:hAnsi="Times New Roman" w:cs="Times New Roman"/>
          <w:sz w:val="24"/>
          <w:szCs w:val="24"/>
          <w:shd w:val="clear" w:color="auto" w:fill="FFFFFF"/>
        </w:rPr>
        <w:t xml:space="preserve"> the</w:t>
      </w:r>
      <w:r w:rsidR="0011748C" w:rsidRPr="0043224D">
        <w:rPr>
          <w:rFonts w:ascii="Times New Roman" w:hAnsi="Times New Roman" w:cs="Times New Roman"/>
          <w:sz w:val="24"/>
          <w:szCs w:val="24"/>
          <w:shd w:val="clear" w:color="auto" w:fill="FFFFFF"/>
        </w:rPr>
        <w:t xml:space="preserve"> rights of ownership to the Endorois</w:t>
      </w:r>
      <w:r w:rsidR="00B1318F" w:rsidRPr="0043224D">
        <w:rPr>
          <w:rFonts w:ascii="Times New Roman" w:hAnsi="Times New Roman" w:cs="Times New Roman"/>
          <w:sz w:val="24"/>
          <w:szCs w:val="24"/>
          <w:shd w:val="clear" w:color="auto" w:fill="FFFFFF"/>
        </w:rPr>
        <w:t xml:space="preserve"> </w:t>
      </w:r>
      <w:r w:rsidR="003975FA" w:rsidRPr="0043224D">
        <w:rPr>
          <w:rFonts w:ascii="Times New Roman" w:hAnsi="Times New Roman" w:cs="Times New Roman"/>
          <w:sz w:val="24"/>
          <w:szCs w:val="24"/>
          <w:shd w:val="clear" w:color="auto" w:fill="FFFFFF"/>
        </w:rPr>
        <w:t xml:space="preserve">and restitute their ancestral land, </w:t>
      </w:r>
      <w:r w:rsidR="00B1318F" w:rsidRPr="0043224D">
        <w:rPr>
          <w:rFonts w:ascii="Times New Roman" w:hAnsi="Times New Roman" w:cs="Times New Roman"/>
          <w:sz w:val="24"/>
          <w:szCs w:val="24"/>
          <w:shd w:val="clear" w:color="auto" w:fill="FFFFFF"/>
        </w:rPr>
        <w:t>and</w:t>
      </w:r>
      <w:r w:rsidR="003975FA" w:rsidRPr="0043224D">
        <w:rPr>
          <w:rFonts w:ascii="Times New Roman" w:hAnsi="Times New Roman" w:cs="Times New Roman"/>
          <w:sz w:val="24"/>
          <w:szCs w:val="24"/>
          <w:shd w:val="clear" w:color="auto" w:fill="FFFFFF"/>
        </w:rPr>
        <w:t xml:space="preserve"> additionally</w:t>
      </w:r>
      <w:r w:rsidR="00B1318F" w:rsidRPr="0043224D">
        <w:rPr>
          <w:rFonts w:ascii="Times New Roman" w:hAnsi="Times New Roman" w:cs="Times New Roman"/>
          <w:sz w:val="24"/>
          <w:szCs w:val="24"/>
          <w:shd w:val="clear" w:color="auto" w:fill="FFFFFF"/>
        </w:rPr>
        <w:t xml:space="preserve"> that the community should also have unrestricted access</w:t>
      </w:r>
      <w:r w:rsidR="00FC38A7" w:rsidRPr="0043224D">
        <w:rPr>
          <w:rFonts w:ascii="Times New Roman" w:hAnsi="Times New Roman" w:cs="Times New Roman"/>
          <w:sz w:val="24"/>
          <w:szCs w:val="24"/>
          <w:shd w:val="clear" w:color="auto" w:fill="FFFFFF"/>
        </w:rPr>
        <w:t xml:space="preserve"> restored</w:t>
      </w:r>
      <w:r w:rsidR="003975FA" w:rsidRPr="0043224D">
        <w:rPr>
          <w:rFonts w:ascii="Times New Roman" w:hAnsi="Times New Roman" w:cs="Times New Roman"/>
          <w:sz w:val="24"/>
          <w:szCs w:val="24"/>
          <w:shd w:val="clear" w:color="auto" w:fill="FFFFFF"/>
        </w:rPr>
        <w:t xml:space="preserve"> to their </w:t>
      </w:r>
      <w:r w:rsidR="00B1318F" w:rsidRPr="0043224D">
        <w:rPr>
          <w:rFonts w:ascii="Times New Roman" w:hAnsi="Times New Roman" w:cs="Times New Roman"/>
          <w:sz w:val="24"/>
          <w:szCs w:val="24"/>
          <w:shd w:val="clear" w:color="auto" w:fill="FFFFFF"/>
        </w:rPr>
        <w:t>lands to graze cattle.</w:t>
      </w:r>
      <w:r w:rsidR="00B1318F" w:rsidRPr="0043224D">
        <w:rPr>
          <w:rStyle w:val="FootnoteReference"/>
          <w:rFonts w:ascii="Times New Roman" w:hAnsi="Times New Roman" w:cs="Times New Roman"/>
          <w:sz w:val="24"/>
          <w:szCs w:val="24"/>
          <w:shd w:val="clear" w:color="auto" w:fill="FFFFFF"/>
        </w:rPr>
        <w:footnoteReference w:id="76"/>
      </w:r>
      <w:r w:rsidR="00B1318F" w:rsidRPr="0043224D">
        <w:rPr>
          <w:rFonts w:ascii="Times New Roman" w:hAnsi="Times New Roman" w:cs="Times New Roman"/>
          <w:sz w:val="24"/>
          <w:szCs w:val="24"/>
          <w:shd w:val="clear" w:color="auto" w:fill="FFFFFF"/>
        </w:rPr>
        <w:t xml:space="preserve"> </w:t>
      </w:r>
      <w:r w:rsidR="00642984" w:rsidRPr="0043224D">
        <w:rPr>
          <w:rFonts w:ascii="Times New Roman" w:hAnsi="Times New Roman" w:cs="Times New Roman"/>
          <w:sz w:val="24"/>
          <w:szCs w:val="24"/>
          <w:shd w:val="clear" w:color="auto" w:fill="FFFFFF"/>
        </w:rPr>
        <w:t xml:space="preserve">In terms of balancing the right of the Kenyan state to establish a game reserve, which </w:t>
      </w:r>
      <w:r w:rsidR="00642984" w:rsidRPr="00CF22EB">
        <w:rPr>
          <w:rFonts w:ascii="Times New Roman" w:hAnsi="Times New Roman" w:cs="Times New Roman"/>
          <w:sz w:val="24"/>
          <w:szCs w:val="24"/>
          <w:shd w:val="clear" w:color="auto" w:fill="FFFFFF"/>
        </w:rPr>
        <w:t>the ACHPR</w:t>
      </w:r>
      <w:r w:rsidR="00642984" w:rsidRPr="0043224D">
        <w:rPr>
          <w:rFonts w:ascii="Times New Roman" w:hAnsi="Times New Roman" w:cs="Times New Roman"/>
          <w:sz w:val="24"/>
          <w:szCs w:val="24"/>
          <w:shd w:val="clear" w:color="auto" w:fill="FFFFFF"/>
        </w:rPr>
        <w:t xml:space="preserve"> </w:t>
      </w:r>
      <w:r w:rsidR="00DC1F72">
        <w:rPr>
          <w:rFonts w:ascii="Times New Roman" w:hAnsi="Times New Roman" w:cs="Times New Roman"/>
          <w:sz w:val="24"/>
          <w:szCs w:val="24"/>
          <w:shd w:val="clear" w:color="auto" w:fill="FFFFFF"/>
        </w:rPr>
        <w:t>conceded</w:t>
      </w:r>
      <w:r w:rsidR="00C75046" w:rsidRPr="0043224D">
        <w:rPr>
          <w:rFonts w:ascii="Times New Roman" w:hAnsi="Times New Roman" w:cs="Times New Roman"/>
          <w:sz w:val="24"/>
          <w:szCs w:val="24"/>
          <w:shd w:val="clear" w:color="auto" w:fill="FFFFFF"/>
        </w:rPr>
        <w:t xml:space="preserve"> </w:t>
      </w:r>
      <w:r w:rsidR="00642984" w:rsidRPr="0043224D">
        <w:rPr>
          <w:rFonts w:ascii="Times New Roman" w:hAnsi="Times New Roman" w:cs="Times New Roman"/>
          <w:sz w:val="24"/>
          <w:szCs w:val="24"/>
          <w:shd w:val="clear" w:color="auto" w:fill="FFFFFF"/>
        </w:rPr>
        <w:t>was a legitimate aim and served a public need, with the rights of the Endorois not to be evicted off the land, the Commission found that the state’s action</w:t>
      </w:r>
      <w:r w:rsidR="000A3B44" w:rsidRPr="0043224D">
        <w:rPr>
          <w:rFonts w:ascii="Times New Roman" w:hAnsi="Times New Roman" w:cs="Times New Roman"/>
          <w:sz w:val="24"/>
          <w:szCs w:val="24"/>
          <w:shd w:val="clear" w:color="auto" w:fill="FFFFFF"/>
        </w:rPr>
        <w:t xml:space="preserve"> in evicting and displacing the pastoralists</w:t>
      </w:r>
      <w:r w:rsidR="00642984" w:rsidRPr="0043224D">
        <w:rPr>
          <w:rFonts w:ascii="Times New Roman" w:hAnsi="Times New Roman" w:cs="Times New Roman"/>
          <w:sz w:val="24"/>
          <w:szCs w:val="24"/>
          <w:shd w:val="clear" w:color="auto" w:fill="FFFFFF"/>
        </w:rPr>
        <w:t xml:space="preserve"> w</w:t>
      </w:r>
      <w:r w:rsidR="00C75046" w:rsidRPr="0043224D">
        <w:rPr>
          <w:rFonts w:ascii="Times New Roman" w:hAnsi="Times New Roman" w:cs="Times New Roman"/>
          <w:sz w:val="24"/>
          <w:szCs w:val="24"/>
          <w:shd w:val="clear" w:color="auto" w:fill="FFFFFF"/>
        </w:rPr>
        <w:t>as</w:t>
      </w:r>
      <w:r w:rsidR="00642984" w:rsidRPr="0043224D">
        <w:rPr>
          <w:rFonts w:ascii="Times New Roman" w:hAnsi="Times New Roman" w:cs="Times New Roman"/>
          <w:sz w:val="24"/>
          <w:szCs w:val="24"/>
          <w:shd w:val="clear" w:color="auto" w:fill="FFFFFF"/>
        </w:rPr>
        <w:t xml:space="preserve"> disproportionate</w:t>
      </w:r>
      <w:r w:rsidR="00C75046" w:rsidRPr="0043224D">
        <w:rPr>
          <w:rFonts w:ascii="Times New Roman" w:hAnsi="Times New Roman" w:cs="Times New Roman"/>
          <w:sz w:val="24"/>
          <w:szCs w:val="24"/>
          <w:shd w:val="clear" w:color="auto" w:fill="FFFFFF"/>
        </w:rPr>
        <w:t xml:space="preserve"> to its aims</w:t>
      </w:r>
      <w:r w:rsidR="00642984" w:rsidRPr="0043224D">
        <w:rPr>
          <w:rFonts w:ascii="Times New Roman" w:hAnsi="Times New Roman" w:cs="Times New Roman"/>
          <w:sz w:val="24"/>
          <w:szCs w:val="24"/>
          <w:shd w:val="clear" w:color="auto" w:fill="FFFFFF"/>
        </w:rPr>
        <w:t>.</w:t>
      </w:r>
      <w:r w:rsidR="00642984" w:rsidRPr="0043224D">
        <w:rPr>
          <w:rStyle w:val="FootnoteReference"/>
          <w:rFonts w:ascii="Times New Roman" w:hAnsi="Times New Roman" w:cs="Times New Roman"/>
          <w:sz w:val="24"/>
          <w:szCs w:val="24"/>
          <w:shd w:val="clear" w:color="auto" w:fill="FFFFFF"/>
        </w:rPr>
        <w:footnoteReference w:id="77"/>
      </w:r>
      <w:r w:rsidR="00642984" w:rsidRPr="0043224D">
        <w:rPr>
          <w:rFonts w:ascii="Times New Roman" w:hAnsi="Times New Roman" w:cs="Times New Roman"/>
          <w:sz w:val="24"/>
          <w:szCs w:val="24"/>
          <w:shd w:val="clear" w:color="auto" w:fill="FFFFFF"/>
        </w:rPr>
        <w:t xml:space="preserve"> </w:t>
      </w:r>
      <w:r w:rsidR="00DC1F72">
        <w:rPr>
          <w:rFonts w:ascii="Times New Roman" w:hAnsi="Times New Roman" w:cs="Times New Roman"/>
          <w:sz w:val="24"/>
          <w:szCs w:val="24"/>
          <w:shd w:val="clear" w:color="auto" w:fill="FFFFFF"/>
        </w:rPr>
        <w:t>Critically</w:t>
      </w:r>
      <w:r w:rsidR="00141245">
        <w:rPr>
          <w:rFonts w:ascii="Times New Roman" w:hAnsi="Times New Roman" w:cs="Times New Roman"/>
          <w:sz w:val="24"/>
          <w:szCs w:val="24"/>
          <w:shd w:val="clear" w:color="auto" w:fill="FFFFFF"/>
        </w:rPr>
        <w:t>,</w:t>
      </w:r>
      <w:r w:rsidR="00DC1F72">
        <w:rPr>
          <w:rFonts w:ascii="Times New Roman" w:hAnsi="Times New Roman" w:cs="Times New Roman"/>
          <w:sz w:val="24"/>
          <w:szCs w:val="24"/>
          <w:shd w:val="clear" w:color="auto" w:fill="FFFFFF"/>
        </w:rPr>
        <w:t xml:space="preserve"> for the arguments furthered in this paper, </w:t>
      </w:r>
      <w:r w:rsidR="00DC1F72" w:rsidRPr="0043224D">
        <w:rPr>
          <w:rFonts w:ascii="Times New Roman" w:hAnsi="Times New Roman" w:cs="Times New Roman"/>
          <w:sz w:val="24"/>
          <w:szCs w:val="24"/>
          <w:shd w:val="clear" w:color="auto" w:fill="FFFFFF"/>
        </w:rPr>
        <w:t>the</w:t>
      </w:r>
      <w:r w:rsidR="00C75046" w:rsidRPr="0043224D">
        <w:rPr>
          <w:rFonts w:ascii="Times New Roman" w:hAnsi="Times New Roman" w:cs="Times New Roman"/>
          <w:sz w:val="24"/>
          <w:szCs w:val="24"/>
          <w:shd w:val="clear" w:color="auto" w:fill="FFFFFF"/>
        </w:rPr>
        <w:t xml:space="preserve"> </w:t>
      </w:r>
      <w:r w:rsidR="00141245">
        <w:rPr>
          <w:rFonts w:ascii="Times New Roman" w:hAnsi="Times New Roman" w:cs="Times New Roman"/>
          <w:sz w:val="24"/>
          <w:szCs w:val="24"/>
          <w:shd w:val="clear" w:color="auto" w:fill="FFFFFF"/>
        </w:rPr>
        <w:t>C</w:t>
      </w:r>
      <w:r w:rsidR="00C75046" w:rsidRPr="0043224D">
        <w:rPr>
          <w:rFonts w:ascii="Times New Roman" w:hAnsi="Times New Roman" w:cs="Times New Roman"/>
          <w:sz w:val="24"/>
          <w:szCs w:val="24"/>
          <w:shd w:val="clear" w:color="auto" w:fill="FFFFFF"/>
        </w:rPr>
        <w:t xml:space="preserve">ommission further </w:t>
      </w:r>
      <w:r w:rsidR="00DC1F72">
        <w:rPr>
          <w:rFonts w:ascii="Times New Roman" w:hAnsi="Times New Roman" w:cs="Times New Roman"/>
          <w:sz w:val="24"/>
          <w:szCs w:val="24"/>
          <w:shd w:val="clear" w:color="auto" w:fill="FFFFFF"/>
        </w:rPr>
        <w:t>stated</w:t>
      </w:r>
      <w:r w:rsidR="00C75046" w:rsidRPr="0043224D">
        <w:rPr>
          <w:rFonts w:ascii="Times New Roman" w:hAnsi="Times New Roman" w:cs="Times New Roman"/>
          <w:sz w:val="24"/>
          <w:szCs w:val="24"/>
          <w:shd w:val="clear" w:color="auto" w:fill="FFFFFF"/>
        </w:rPr>
        <w:t xml:space="preserve"> that the Kenyan state could not justify the eviction and di</w:t>
      </w:r>
      <w:r w:rsidR="00D517C7" w:rsidRPr="0043224D">
        <w:rPr>
          <w:rFonts w:ascii="Times New Roman" w:hAnsi="Times New Roman" w:cs="Times New Roman"/>
          <w:sz w:val="24"/>
          <w:szCs w:val="24"/>
          <w:shd w:val="clear" w:color="auto" w:fill="FFFFFF"/>
        </w:rPr>
        <w:t>splacement, “with reference to… [the]</w:t>
      </w:r>
      <w:r w:rsidR="00C75046" w:rsidRPr="0043224D">
        <w:rPr>
          <w:rFonts w:ascii="Times New Roman" w:hAnsi="Times New Roman" w:cs="Times New Roman"/>
          <w:sz w:val="24"/>
          <w:szCs w:val="24"/>
          <w:shd w:val="clear" w:color="auto" w:fill="FFFFFF"/>
        </w:rPr>
        <w:t xml:space="preserve"> public need.”</w:t>
      </w:r>
      <w:r w:rsidR="00C75046" w:rsidRPr="0043224D">
        <w:rPr>
          <w:rStyle w:val="FootnoteReference"/>
          <w:rFonts w:ascii="Times New Roman" w:hAnsi="Times New Roman" w:cs="Times New Roman"/>
          <w:sz w:val="24"/>
          <w:szCs w:val="24"/>
          <w:shd w:val="clear" w:color="auto" w:fill="FFFFFF"/>
        </w:rPr>
        <w:footnoteReference w:id="78"/>
      </w:r>
      <w:r w:rsidR="00C75046" w:rsidRPr="0043224D">
        <w:rPr>
          <w:rFonts w:ascii="Times New Roman" w:hAnsi="Times New Roman" w:cs="Times New Roman"/>
          <w:sz w:val="24"/>
          <w:szCs w:val="24"/>
          <w:shd w:val="clear" w:color="auto" w:fill="FFFFFF"/>
        </w:rPr>
        <w:t xml:space="preserve"> </w:t>
      </w:r>
    </w:p>
    <w:p w:rsidR="005C321D" w:rsidRPr="0043224D" w:rsidRDefault="00BB174B" w:rsidP="00060EEC">
      <w:pPr>
        <w:spacing w:line="360" w:lineRule="auto"/>
        <w:ind w:firstLine="720"/>
        <w:rPr>
          <w:rFonts w:ascii="Times New Roman" w:hAnsi="Times New Roman" w:cs="Times New Roman"/>
          <w:sz w:val="24"/>
          <w:szCs w:val="24"/>
        </w:rPr>
      </w:pPr>
      <w:r w:rsidRPr="0043224D">
        <w:rPr>
          <w:rFonts w:ascii="Times New Roman" w:hAnsi="Times New Roman" w:cs="Times New Roman"/>
          <w:color w:val="222222"/>
          <w:sz w:val="24"/>
          <w:szCs w:val="24"/>
          <w:shd w:val="clear" w:color="auto" w:fill="FFFFFF"/>
        </w:rPr>
        <w:t>This</w:t>
      </w:r>
      <w:r w:rsidR="00FC38A7" w:rsidRPr="0043224D">
        <w:rPr>
          <w:rFonts w:ascii="Times New Roman" w:hAnsi="Times New Roman" w:cs="Times New Roman"/>
          <w:color w:val="222222"/>
          <w:sz w:val="24"/>
          <w:szCs w:val="24"/>
          <w:shd w:val="clear" w:color="auto" w:fill="FFFFFF"/>
        </w:rPr>
        <w:t xml:space="preserve"> landmark case illustrates that c</w:t>
      </w:r>
      <w:r w:rsidR="00E13057" w:rsidRPr="0043224D">
        <w:rPr>
          <w:rFonts w:ascii="Times New Roman" w:hAnsi="Times New Roman" w:cs="Times New Roman"/>
          <w:color w:val="222222"/>
          <w:sz w:val="24"/>
          <w:szCs w:val="24"/>
          <w:shd w:val="clear" w:color="auto" w:fill="FFFFFF"/>
        </w:rPr>
        <w:t xml:space="preserve">ontrol or at least semi-autonomous control over land and territories is therefore a necessary condition for the uniquely indigenous land-based reproduction of culture, social, and legal and political institutions. </w:t>
      </w:r>
      <w:r w:rsidR="00D335BF" w:rsidRPr="0043224D">
        <w:rPr>
          <w:rFonts w:ascii="Times New Roman" w:hAnsi="Times New Roman" w:cs="Times New Roman"/>
          <w:color w:val="222222"/>
          <w:sz w:val="24"/>
          <w:szCs w:val="24"/>
          <w:shd w:val="clear" w:color="auto" w:fill="FFFFFF"/>
        </w:rPr>
        <w:t xml:space="preserve">In this light, it is of note and significance that the </w:t>
      </w:r>
      <w:r w:rsidR="00D733F5" w:rsidRPr="0043224D">
        <w:rPr>
          <w:rFonts w:ascii="Times New Roman" w:hAnsi="Times New Roman" w:cs="Times New Roman"/>
          <w:color w:val="222222"/>
          <w:sz w:val="24"/>
          <w:szCs w:val="24"/>
          <w:shd w:val="clear" w:color="auto" w:fill="FFFFFF"/>
        </w:rPr>
        <w:t>ACHPR</w:t>
      </w:r>
      <w:r w:rsidR="00D335BF" w:rsidRPr="0043224D">
        <w:rPr>
          <w:rFonts w:ascii="Times New Roman" w:hAnsi="Times New Roman" w:cs="Times New Roman"/>
          <w:color w:val="222222"/>
          <w:sz w:val="24"/>
          <w:szCs w:val="24"/>
          <w:shd w:val="clear" w:color="auto" w:fill="FFFFFF"/>
        </w:rPr>
        <w:t xml:space="preserve"> chose to interpret Article 14 of the African Charter in favour of the Endorois collective right to property as an ancestral, social and economic claim. </w:t>
      </w:r>
      <w:r w:rsidR="00E13057" w:rsidRPr="0043224D">
        <w:rPr>
          <w:rFonts w:ascii="Times New Roman" w:hAnsi="Times New Roman" w:cs="Times New Roman"/>
          <w:color w:val="222222"/>
          <w:sz w:val="24"/>
          <w:szCs w:val="24"/>
          <w:shd w:val="clear" w:color="auto" w:fill="FFFFFF"/>
        </w:rPr>
        <w:t xml:space="preserve"> </w:t>
      </w:r>
      <w:r w:rsidR="00D7299D" w:rsidRPr="0043224D">
        <w:rPr>
          <w:rFonts w:ascii="Times New Roman" w:hAnsi="Times New Roman" w:cs="Times New Roman"/>
          <w:color w:val="222222"/>
          <w:sz w:val="24"/>
          <w:szCs w:val="24"/>
          <w:shd w:val="clear" w:color="auto" w:fill="FFFFFF"/>
        </w:rPr>
        <w:t>Whereas many states do not recognise the coll</w:t>
      </w:r>
      <w:r w:rsidR="00CB552A" w:rsidRPr="0043224D">
        <w:rPr>
          <w:rFonts w:ascii="Times New Roman" w:hAnsi="Times New Roman" w:cs="Times New Roman"/>
          <w:color w:val="222222"/>
          <w:sz w:val="24"/>
          <w:szCs w:val="24"/>
          <w:shd w:val="clear" w:color="auto" w:fill="FFFFFF"/>
        </w:rPr>
        <w:t>ective nature of land rights</w:t>
      </w:r>
      <w:r w:rsidR="00FC38A7" w:rsidRPr="0043224D">
        <w:rPr>
          <w:rFonts w:ascii="Times New Roman" w:hAnsi="Times New Roman" w:cs="Times New Roman"/>
          <w:color w:val="222222"/>
          <w:sz w:val="24"/>
          <w:szCs w:val="24"/>
          <w:shd w:val="clear" w:color="auto" w:fill="FFFFFF"/>
        </w:rPr>
        <w:t xml:space="preserve"> in regards to indigenous peoples</w:t>
      </w:r>
      <w:r w:rsidR="00CB552A" w:rsidRPr="0043224D">
        <w:rPr>
          <w:rFonts w:ascii="Times New Roman" w:hAnsi="Times New Roman" w:cs="Times New Roman"/>
          <w:color w:val="222222"/>
          <w:sz w:val="24"/>
          <w:szCs w:val="24"/>
          <w:shd w:val="clear" w:color="auto" w:fill="FFFFFF"/>
        </w:rPr>
        <w:t>, or</w:t>
      </w:r>
      <w:r w:rsidR="00D7299D" w:rsidRPr="0043224D">
        <w:rPr>
          <w:rFonts w:ascii="Times New Roman" w:hAnsi="Times New Roman" w:cs="Times New Roman"/>
          <w:color w:val="222222"/>
          <w:sz w:val="24"/>
          <w:szCs w:val="24"/>
          <w:shd w:val="clear" w:color="auto" w:fill="FFFFFF"/>
        </w:rPr>
        <w:t xml:space="preserve"> if they do</w:t>
      </w:r>
      <w:r w:rsidR="00D517C7" w:rsidRPr="0043224D">
        <w:rPr>
          <w:rFonts w:ascii="Times New Roman" w:hAnsi="Times New Roman" w:cs="Times New Roman"/>
          <w:color w:val="222222"/>
          <w:sz w:val="24"/>
          <w:szCs w:val="24"/>
          <w:shd w:val="clear" w:color="auto" w:fill="FFFFFF"/>
        </w:rPr>
        <w:t>,</w:t>
      </w:r>
      <w:r w:rsidR="00D7299D" w:rsidRPr="0043224D">
        <w:rPr>
          <w:rFonts w:ascii="Times New Roman" w:hAnsi="Times New Roman" w:cs="Times New Roman"/>
          <w:color w:val="222222"/>
          <w:sz w:val="24"/>
          <w:szCs w:val="24"/>
          <w:shd w:val="clear" w:color="auto" w:fill="FFFFFF"/>
        </w:rPr>
        <w:t xml:space="preserve"> they do not</w:t>
      </w:r>
      <w:r w:rsidR="003E0682" w:rsidRPr="0043224D">
        <w:rPr>
          <w:rFonts w:ascii="Times New Roman" w:hAnsi="Times New Roman" w:cs="Times New Roman"/>
          <w:color w:val="222222"/>
          <w:sz w:val="24"/>
          <w:szCs w:val="24"/>
          <w:shd w:val="clear" w:color="auto" w:fill="FFFFFF"/>
        </w:rPr>
        <w:t xml:space="preserve"> always</w:t>
      </w:r>
      <w:r w:rsidR="00D335BF" w:rsidRPr="0043224D">
        <w:rPr>
          <w:rFonts w:ascii="Times New Roman" w:hAnsi="Times New Roman" w:cs="Times New Roman"/>
          <w:color w:val="222222"/>
          <w:sz w:val="24"/>
          <w:szCs w:val="24"/>
          <w:shd w:val="clear" w:color="auto" w:fill="FFFFFF"/>
        </w:rPr>
        <w:t xml:space="preserve"> implement or</w:t>
      </w:r>
      <w:r w:rsidR="00D7299D" w:rsidRPr="0043224D">
        <w:rPr>
          <w:rFonts w:ascii="Times New Roman" w:hAnsi="Times New Roman" w:cs="Times New Roman"/>
          <w:color w:val="222222"/>
          <w:sz w:val="24"/>
          <w:szCs w:val="24"/>
          <w:shd w:val="clear" w:color="auto" w:fill="FFFFFF"/>
        </w:rPr>
        <w:t xml:space="preserve"> enforce </w:t>
      </w:r>
      <w:r w:rsidR="00CB552A" w:rsidRPr="0043224D">
        <w:rPr>
          <w:rFonts w:ascii="Times New Roman" w:hAnsi="Times New Roman" w:cs="Times New Roman"/>
          <w:color w:val="222222"/>
          <w:sz w:val="24"/>
          <w:szCs w:val="24"/>
          <w:shd w:val="clear" w:color="auto" w:fill="FFFFFF"/>
        </w:rPr>
        <w:t>land rights appropriately</w:t>
      </w:r>
      <w:r w:rsidR="00D7299D" w:rsidRPr="0043224D">
        <w:rPr>
          <w:rFonts w:ascii="Times New Roman" w:hAnsi="Times New Roman" w:cs="Times New Roman"/>
          <w:color w:val="222222"/>
          <w:sz w:val="24"/>
          <w:szCs w:val="24"/>
          <w:shd w:val="clear" w:color="auto" w:fill="FFFFFF"/>
        </w:rPr>
        <w:t>,</w:t>
      </w:r>
      <w:r w:rsidR="0075380C" w:rsidRPr="0043224D">
        <w:rPr>
          <w:rStyle w:val="FootnoteReference"/>
          <w:rFonts w:ascii="Times New Roman" w:hAnsi="Times New Roman" w:cs="Times New Roman"/>
          <w:color w:val="222222"/>
          <w:sz w:val="24"/>
          <w:szCs w:val="24"/>
          <w:shd w:val="clear" w:color="auto" w:fill="FFFFFF"/>
        </w:rPr>
        <w:footnoteReference w:id="79"/>
      </w:r>
      <w:r w:rsidR="00D7299D" w:rsidRPr="0043224D">
        <w:rPr>
          <w:rFonts w:ascii="Times New Roman" w:hAnsi="Times New Roman" w:cs="Times New Roman"/>
          <w:color w:val="222222"/>
          <w:sz w:val="24"/>
          <w:szCs w:val="24"/>
          <w:shd w:val="clear" w:color="auto" w:fill="FFFFFF"/>
        </w:rPr>
        <w:t xml:space="preserve"> </w:t>
      </w:r>
      <w:r w:rsidR="00FC38A7" w:rsidRPr="0043224D">
        <w:rPr>
          <w:rFonts w:ascii="Times New Roman" w:hAnsi="Times New Roman" w:cs="Times New Roman"/>
          <w:color w:val="222222"/>
          <w:sz w:val="24"/>
          <w:szCs w:val="24"/>
          <w:shd w:val="clear" w:color="auto" w:fill="FFFFFF"/>
        </w:rPr>
        <w:t>regional law</w:t>
      </w:r>
      <w:r w:rsidR="00863A66" w:rsidRPr="0043224D">
        <w:rPr>
          <w:rFonts w:ascii="Times New Roman" w:hAnsi="Times New Roman" w:cs="Times New Roman"/>
          <w:color w:val="222222"/>
          <w:sz w:val="24"/>
          <w:szCs w:val="24"/>
          <w:shd w:val="clear" w:color="auto" w:fill="FFFFFF"/>
        </w:rPr>
        <w:t xml:space="preserve"> on the other hand does</w:t>
      </w:r>
      <w:r w:rsidR="00767D1C" w:rsidRPr="0043224D">
        <w:rPr>
          <w:rFonts w:ascii="Times New Roman" w:hAnsi="Times New Roman" w:cs="Times New Roman"/>
          <w:color w:val="222222"/>
          <w:sz w:val="24"/>
          <w:szCs w:val="24"/>
          <w:shd w:val="clear" w:color="auto" w:fill="FFFFFF"/>
        </w:rPr>
        <w:t>.</w:t>
      </w:r>
      <w:r w:rsidR="00863A66" w:rsidRPr="0043224D">
        <w:rPr>
          <w:rStyle w:val="FootnoteReference"/>
          <w:rFonts w:ascii="Times New Roman" w:hAnsi="Times New Roman" w:cs="Times New Roman"/>
          <w:color w:val="222222"/>
          <w:sz w:val="24"/>
          <w:szCs w:val="24"/>
          <w:shd w:val="clear" w:color="auto" w:fill="FFFFFF"/>
        </w:rPr>
        <w:footnoteReference w:id="80"/>
      </w:r>
      <w:r w:rsidR="00767D1C" w:rsidRPr="0043224D">
        <w:rPr>
          <w:rFonts w:ascii="Times New Roman" w:hAnsi="Times New Roman" w:cs="Times New Roman"/>
          <w:color w:val="222222"/>
          <w:sz w:val="24"/>
          <w:szCs w:val="24"/>
          <w:shd w:val="clear" w:color="auto" w:fill="FFFFFF"/>
        </w:rPr>
        <w:t xml:space="preserve"> Therefore</w:t>
      </w:r>
      <w:r w:rsidR="00863A66" w:rsidRPr="0043224D">
        <w:rPr>
          <w:rFonts w:ascii="Times New Roman" w:hAnsi="Times New Roman" w:cs="Times New Roman"/>
          <w:color w:val="222222"/>
          <w:sz w:val="24"/>
          <w:szCs w:val="24"/>
          <w:shd w:val="clear" w:color="auto" w:fill="FFFFFF"/>
        </w:rPr>
        <w:t xml:space="preserve"> by </w:t>
      </w:r>
      <w:r w:rsidR="00FC38A7" w:rsidRPr="0043224D">
        <w:rPr>
          <w:rFonts w:ascii="Times New Roman" w:hAnsi="Times New Roman" w:cs="Times New Roman"/>
          <w:color w:val="222222"/>
          <w:sz w:val="24"/>
          <w:szCs w:val="24"/>
          <w:shd w:val="clear" w:color="auto" w:fill="FFFFFF"/>
        </w:rPr>
        <w:t>implication</w:t>
      </w:r>
      <w:r w:rsidR="00863A66" w:rsidRPr="0043224D">
        <w:rPr>
          <w:rFonts w:ascii="Times New Roman" w:hAnsi="Times New Roman" w:cs="Times New Roman"/>
          <w:color w:val="222222"/>
          <w:sz w:val="24"/>
          <w:szCs w:val="24"/>
          <w:shd w:val="clear" w:color="auto" w:fill="FFFFFF"/>
        </w:rPr>
        <w:t xml:space="preserve"> and perhaps by practice also, as the Endorois case</w:t>
      </w:r>
      <w:r w:rsidR="00D733F5" w:rsidRPr="0043224D">
        <w:rPr>
          <w:rFonts w:ascii="Times New Roman" w:hAnsi="Times New Roman" w:cs="Times New Roman"/>
          <w:color w:val="222222"/>
          <w:sz w:val="24"/>
          <w:szCs w:val="24"/>
          <w:shd w:val="clear" w:color="auto" w:fill="FFFFFF"/>
        </w:rPr>
        <w:t xml:space="preserve"> and others exemplifies</w:t>
      </w:r>
      <w:r w:rsidR="008B6457" w:rsidRPr="0043224D">
        <w:rPr>
          <w:rFonts w:ascii="Times New Roman" w:hAnsi="Times New Roman" w:cs="Times New Roman"/>
          <w:color w:val="222222"/>
          <w:sz w:val="24"/>
          <w:szCs w:val="24"/>
          <w:shd w:val="clear" w:color="auto" w:fill="FFFFFF"/>
        </w:rPr>
        <w:t>,</w:t>
      </w:r>
      <w:r w:rsidR="00D733F5" w:rsidRPr="0043224D">
        <w:rPr>
          <w:rStyle w:val="FootnoteReference"/>
          <w:rFonts w:ascii="Times New Roman" w:hAnsi="Times New Roman" w:cs="Times New Roman"/>
          <w:color w:val="222222"/>
          <w:sz w:val="24"/>
          <w:szCs w:val="24"/>
          <w:shd w:val="clear" w:color="auto" w:fill="FFFFFF"/>
        </w:rPr>
        <w:footnoteReference w:id="81"/>
      </w:r>
      <w:r w:rsidR="00D335BF" w:rsidRPr="0043224D">
        <w:rPr>
          <w:rFonts w:ascii="Times New Roman" w:hAnsi="Times New Roman" w:cs="Times New Roman"/>
          <w:color w:val="222222"/>
          <w:sz w:val="24"/>
          <w:szCs w:val="24"/>
          <w:shd w:val="clear" w:color="auto" w:fill="FFFFFF"/>
        </w:rPr>
        <w:t xml:space="preserve"> </w:t>
      </w:r>
      <w:r w:rsidR="008B6457" w:rsidRPr="0043224D">
        <w:rPr>
          <w:rFonts w:ascii="Times New Roman" w:hAnsi="Times New Roman" w:cs="Times New Roman"/>
          <w:color w:val="222222"/>
          <w:sz w:val="24"/>
          <w:szCs w:val="24"/>
          <w:shd w:val="clear" w:color="auto" w:fill="FFFFFF"/>
        </w:rPr>
        <w:t>and i</w:t>
      </w:r>
      <w:r w:rsidR="005A12C3" w:rsidRPr="0043224D">
        <w:rPr>
          <w:rFonts w:ascii="Times New Roman" w:hAnsi="Times New Roman" w:cs="Times New Roman"/>
          <w:color w:val="222222"/>
          <w:sz w:val="24"/>
          <w:szCs w:val="24"/>
          <w:shd w:val="clear" w:color="auto" w:fill="FFFFFF"/>
        </w:rPr>
        <w:t xml:space="preserve">n light of these critical decisions, </w:t>
      </w:r>
      <w:r w:rsidR="008B6457" w:rsidRPr="0043224D">
        <w:rPr>
          <w:rFonts w:ascii="Times New Roman" w:hAnsi="Times New Roman" w:cs="Times New Roman"/>
          <w:color w:val="222222"/>
          <w:sz w:val="24"/>
          <w:szCs w:val="24"/>
          <w:shd w:val="clear" w:color="auto" w:fill="FFFFFF"/>
        </w:rPr>
        <w:t>i</w:t>
      </w:r>
      <w:r w:rsidR="005A12C3" w:rsidRPr="0043224D">
        <w:rPr>
          <w:rFonts w:ascii="Times New Roman" w:hAnsi="Times New Roman" w:cs="Times New Roman"/>
          <w:color w:val="222222"/>
          <w:sz w:val="24"/>
          <w:szCs w:val="24"/>
          <w:shd w:val="clear" w:color="auto" w:fill="FFFFFF"/>
        </w:rPr>
        <w:t>nternational</w:t>
      </w:r>
      <w:r w:rsidR="00D335BF" w:rsidRPr="0043224D">
        <w:rPr>
          <w:rFonts w:ascii="Times New Roman" w:hAnsi="Times New Roman" w:cs="Times New Roman"/>
          <w:color w:val="222222"/>
          <w:sz w:val="24"/>
          <w:szCs w:val="24"/>
          <w:shd w:val="clear" w:color="auto" w:fill="FFFFFF"/>
        </w:rPr>
        <w:t xml:space="preserve"> law</w:t>
      </w:r>
      <w:r w:rsidR="005A12C3" w:rsidRPr="0043224D">
        <w:rPr>
          <w:rFonts w:ascii="Times New Roman" w:hAnsi="Times New Roman" w:cs="Times New Roman"/>
          <w:color w:val="222222"/>
          <w:sz w:val="24"/>
          <w:szCs w:val="24"/>
          <w:shd w:val="clear" w:color="auto" w:fill="FFFFFF"/>
        </w:rPr>
        <w:t xml:space="preserve">, </w:t>
      </w:r>
      <w:r w:rsidR="008B6457" w:rsidRPr="0043224D">
        <w:rPr>
          <w:rFonts w:ascii="Times New Roman" w:hAnsi="Times New Roman" w:cs="Times New Roman"/>
          <w:color w:val="222222"/>
          <w:sz w:val="24"/>
          <w:szCs w:val="24"/>
          <w:shd w:val="clear" w:color="auto" w:fill="FFFFFF"/>
        </w:rPr>
        <w:t>may be</w:t>
      </w:r>
      <w:r w:rsidR="005A12C3" w:rsidRPr="0043224D">
        <w:rPr>
          <w:rFonts w:ascii="Times New Roman" w:hAnsi="Times New Roman" w:cs="Times New Roman"/>
          <w:color w:val="222222"/>
          <w:sz w:val="24"/>
          <w:szCs w:val="24"/>
          <w:shd w:val="clear" w:color="auto" w:fill="FFFFFF"/>
        </w:rPr>
        <w:t xml:space="preserve"> moving towards a customary recognition of indigenous peoples collective right to property,  </w:t>
      </w:r>
      <w:r w:rsidR="008B6457" w:rsidRPr="0043224D">
        <w:rPr>
          <w:rFonts w:ascii="Times New Roman" w:hAnsi="Times New Roman" w:cs="Times New Roman"/>
          <w:color w:val="222222"/>
          <w:sz w:val="24"/>
          <w:szCs w:val="24"/>
          <w:shd w:val="clear" w:color="auto" w:fill="FFFFFF"/>
        </w:rPr>
        <w:t xml:space="preserve">if </w:t>
      </w:r>
      <w:r w:rsidR="005A12C3" w:rsidRPr="0043224D">
        <w:rPr>
          <w:rFonts w:ascii="Times New Roman" w:hAnsi="Times New Roman" w:cs="Times New Roman"/>
          <w:color w:val="222222"/>
          <w:sz w:val="24"/>
          <w:szCs w:val="24"/>
          <w:shd w:val="clear" w:color="auto" w:fill="FFFFFF"/>
        </w:rPr>
        <w:t>albeit tentatively</w:t>
      </w:r>
      <w:r w:rsidR="00D335BF" w:rsidRPr="0043224D">
        <w:rPr>
          <w:rFonts w:ascii="Times New Roman" w:hAnsi="Times New Roman" w:cs="Times New Roman"/>
          <w:b/>
          <w:color w:val="222222"/>
          <w:sz w:val="24"/>
          <w:szCs w:val="24"/>
          <w:shd w:val="clear" w:color="auto" w:fill="FFFFFF"/>
        </w:rPr>
        <w:t>.</w:t>
      </w:r>
      <w:r w:rsidR="00C52A28" w:rsidRPr="0043224D">
        <w:rPr>
          <w:rFonts w:ascii="Times New Roman" w:hAnsi="Times New Roman" w:cs="Times New Roman"/>
          <w:b/>
          <w:color w:val="222222"/>
          <w:sz w:val="24"/>
          <w:szCs w:val="24"/>
          <w:shd w:val="clear" w:color="auto" w:fill="FFFFFF"/>
        </w:rPr>
        <w:t xml:space="preserve"> </w:t>
      </w:r>
      <w:r w:rsidR="00C52A28" w:rsidRPr="0043224D">
        <w:rPr>
          <w:rFonts w:ascii="Times New Roman" w:hAnsi="Times New Roman" w:cs="Times New Roman"/>
          <w:color w:val="222222"/>
          <w:sz w:val="24"/>
          <w:szCs w:val="24"/>
          <w:shd w:val="clear" w:color="auto" w:fill="FFFFFF"/>
        </w:rPr>
        <w:t>The right to property is</w:t>
      </w:r>
      <w:r w:rsidR="00D517C7" w:rsidRPr="0043224D">
        <w:rPr>
          <w:rFonts w:ascii="Times New Roman" w:hAnsi="Times New Roman" w:cs="Times New Roman"/>
          <w:color w:val="222222"/>
          <w:sz w:val="24"/>
          <w:szCs w:val="24"/>
          <w:shd w:val="clear" w:color="auto" w:fill="FFFFFF"/>
        </w:rPr>
        <w:t>,</w:t>
      </w:r>
      <w:r w:rsidR="00C52A28" w:rsidRPr="0043224D">
        <w:rPr>
          <w:rFonts w:ascii="Times New Roman" w:hAnsi="Times New Roman" w:cs="Times New Roman"/>
          <w:color w:val="222222"/>
          <w:sz w:val="24"/>
          <w:szCs w:val="24"/>
          <w:shd w:val="clear" w:color="auto" w:fill="FFFFFF"/>
        </w:rPr>
        <w:t xml:space="preserve"> in turn</w:t>
      </w:r>
      <w:r w:rsidR="00D517C7" w:rsidRPr="0043224D">
        <w:rPr>
          <w:rFonts w:ascii="Times New Roman" w:hAnsi="Times New Roman" w:cs="Times New Roman"/>
          <w:color w:val="222222"/>
          <w:sz w:val="24"/>
          <w:szCs w:val="24"/>
          <w:shd w:val="clear" w:color="auto" w:fill="FFFFFF"/>
        </w:rPr>
        <w:t>,</w:t>
      </w:r>
      <w:r w:rsidR="004E3D92" w:rsidRPr="0043224D">
        <w:rPr>
          <w:rFonts w:ascii="Times New Roman" w:hAnsi="Times New Roman" w:cs="Times New Roman"/>
          <w:color w:val="222222"/>
          <w:sz w:val="24"/>
          <w:szCs w:val="24"/>
          <w:shd w:val="clear" w:color="auto" w:fill="FFFFFF"/>
        </w:rPr>
        <w:t xml:space="preserve"> </w:t>
      </w:r>
      <w:r w:rsidR="00C52A28" w:rsidRPr="0043224D">
        <w:rPr>
          <w:rFonts w:ascii="Times New Roman" w:hAnsi="Times New Roman" w:cs="Times New Roman"/>
          <w:color w:val="222222"/>
          <w:sz w:val="24"/>
          <w:szCs w:val="24"/>
          <w:shd w:val="clear" w:color="auto" w:fill="FFFFFF"/>
        </w:rPr>
        <w:t xml:space="preserve">foundational in any discussion of the emerging right not to be arbitrarily displaced. </w:t>
      </w:r>
      <w:r w:rsidR="00A66606" w:rsidRPr="0043224D">
        <w:rPr>
          <w:rFonts w:ascii="Times New Roman" w:hAnsi="Times New Roman" w:cs="Times New Roman"/>
          <w:color w:val="222222"/>
          <w:sz w:val="24"/>
          <w:szCs w:val="24"/>
          <w:shd w:val="clear" w:color="auto" w:fill="FFFFFF"/>
        </w:rPr>
        <w:t xml:space="preserve">It is also of interest to note that the </w:t>
      </w:r>
      <w:r w:rsidR="00D517C7" w:rsidRPr="0043224D">
        <w:rPr>
          <w:rFonts w:ascii="Times New Roman" w:hAnsi="Times New Roman" w:cs="Times New Roman"/>
          <w:color w:val="222222"/>
          <w:sz w:val="24"/>
          <w:szCs w:val="24"/>
          <w:shd w:val="clear" w:color="auto" w:fill="FFFFFF"/>
        </w:rPr>
        <w:t>ACHPR</w:t>
      </w:r>
      <w:r w:rsidR="00A66606" w:rsidRPr="0043224D">
        <w:rPr>
          <w:rFonts w:ascii="Times New Roman" w:hAnsi="Times New Roman" w:cs="Times New Roman"/>
          <w:color w:val="222222"/>
          <w:sz w:val="24"/>
          <w:szCs w:val="24"/>
          <w:shd w:val="clear" w:color="auto" w:fill="FFFFFF"/>
        </w:rPr>
        <w:t xml:space="preserve"> recognised the obligations of the respondent state under Article 14, “</w:t>
      </w:r>
      <w:r w:rsidR="00A66606" w:rsidRPr="0043224D">
        <w:rPr>
          <w:rFonts w:ascii="Times New Roman" w:hAnsi="Times New Roman" w:cs="Times New Roman"/>
          <w:sz w:val="24"/>
          <w:szCs w:val="24"/>
        </w:rPr>
        <w:t>not only to respect the ‘right to property’, but also to protect that right.”</w:t>
      </w:r>
      <w:r w:rsidR="00C421C5" w:rsidRPr="0043224D">
        <w:rPr>
          <w:rFonts w:ascii="Times New Roman" w:hAnsi="Times New Roman" w:cs="Times New Roman"/>
          <w:sz w:val="24"/>
          <w:szCs w:val="24"/>
        </w:rPr>
        <w:footnoteReference w:id="82"/>
      </w:r>
      <w:r w:rsidR="005A12C3" w:rsidRPr="0043224D">
        <w:rPr>
          <w:rFonts w:ascii="Times New Roman" w:hAnsi="Times New Roman" w:cs="Times New Roman"/>
          <w:sz w:val="24"/>
          <w:szCs w:val="24"/>
        </w:rPr>
        <w:t xml:space="preserve"> </w:t>
      </w:r>
    </w:p>
    <w:p w:rsidR="00A812EC" w:rsidRPr="0043224D" w:rsidRDefault="006E433C" w:rsidP="00060EEC">
      <w:pPr>
        <w:spacing w:line="360" w:lineRule="auto"/>
        <w:ind w:firstLine="720"/>
        <w:rPr>
          <w:rFonts w:ascii="Times New Roman" w:hAnsi="Times New Roman" w:cs="Times New Roman"/>
          <w:color w:val="222222"/>
          <w:sz w:val="24"/>
          <w:szCs w:val="24"/>
          <w:shd w:val="clear" w:color="auto" w:fill="FFFFFF"/>
        </w:rPr>
      </w:pPr>
      <w:r w:rsidRPr="0043224D">
        <w:rPr>
          <w:rFonts w:ascii="Times New Roman" w:hAnsi="Times New Roman" w:cs="Times New Roman"/>
          <w:sz w:val="24"/>
          <w:szCs w:val="24"/>
        </w:rPr>
        <w:t xml:space="preserve">Control over the mode, process and practice of development lies at the heart </w:t>
      </w:r>
      <w:r w:rsidR="005C321D" w:rsidRPr="0043224D">
        <w:rPr>
          <w:rFonts w:ascii="Times New Roman" w:hAnsi="Times New Roman" w:cs="Times New Roman"/>
          <w:sz w:val="24"/>
          <w:szCs w:val="24"/>
        </w:rPr>
        <w:t xml:space="preserve">of the issues that lead to the displacement and dispossession of nomadic indigenous peoples. </w:t>
      </w:r>
      <w:r w:rsidR="00726E26" w:rsidRPr="0043224D">
        <w:rPr>
          <w:rFonts w:ascii="Times New Roman" w:hAnsi="Times New Roman" w:cs="Times New Roman"/>
          <w:sz w:val="24"/>
          <w:szCs w:val="24"/>
        </w:rPr>
        <w:t xml:space="preserve">This thesis posits that </w:t>
      </w:r>
      <w:r w:rsidR="00726E26" w:rsidRPr="0043224D">
        <w:rPr>
          <w:rFonts w:ascii="Times New Roman" w:hAnsi="Times New Roman" w:cs="Times New Roman"/>
          <w:color w:val="222222"/>
          <w:sz w:val="24"/>
          <w:szCs w:val="24"/>
          <w:shd w:val="clear" w:color="auto" w:fill="FFFFFF"/>
        </w:rPr>
        <w:t xml:space="preserve">the dominant </w:t>
      </w:r>
      <w:r w:rsidR="007A2D25" w:rsidRPr="0043224D">
        <w:rPr>
          <w:rFonts w:ascii="Times New Roman" w:hAnsi="Times New Roman" w:cs="Times New Roman"/>
          <w:color w:val="222222"/>
          <w:sz w:val="24"/>
          <w:szCs w:val="24"/>
          <w:shd w:val="clear" w:color="auto" w:fill="FFFFFF"/>
        </w:rPr>
        <w:t>“</w:t>
      </w:r>
      <w:r w:rsidR="00726E26" w:rsidRPr="0043224D">
        <w:rPr>
          <w:rFonts w:ascii="Times New Roman" w:hAnsi="Times New Roman" w:cs="Times New Roman"/>
          <w:color w:val="222222"/>
          <w:sz w:val="24"/>
          <w:szCs w:val="24"/>
          <w:shd w:val="clear" w:color="auto" w:fill="FFFFFF"/>
        </w:rPr>
        <w:t>neo-liberal development</w:t>
      </w:r>
      <w:r w:rsidR="007A2D25" w:rsidRPr="0043224D">
        <w:rPr>
          <w:rFonts w:ascii="Times New Roman" w:hAnsi="Times New Roman" w:cs="Times New Roman"/>
          <w:color w:val="222222"/>
          <w:sz w:val="24"/>
          <w:szCs w:val="24"/>
          <w:shd w:val="clear" w:color="auto" w:fill="FFFFFF"/>
        </w:rPr>
        <w:t>”</w:t>
      </w:r>
      <w:r w:rsidR="00726E26" w:rsidRPr="0043224D">
        <w:rPr>
          <w:rFonts w:ascii="Times New Roman" w:hAnsi="Times New Roman" w:cs="Times New Roman"/>
          <w:color w:val="222222"/>
          <w:sz w:val="24"/>
          <w:szCs w:val="24"/>
          <w:shd w:val="clear" w:color="auto" w:fill="FFFFFF"/>
        </w:rPr>
        <w:t xml:space="preserve"> paradigm</w:t>
      </w:r>
      <w:r w:rsidR="000B30D3">
        <w:rPr>
          <w:rFonts w:ascii="Times New Roman" w:hAnsi="Times New Roman" w:cs="Times New Roman"/>
          <w:color w:val="222222"/>
          <w:sz w:val="24"/>
          <w:szCs w:val="24"/>
          <w:shd w:val="clear" w:color="auto" w:fill="FFFFFF"/>
        </w:rPr>
        <w:t>,</w:t>
      </w:r>
      <w:r w:rsidR="00726E26" w:rsidRPr="0043224D">
        <w:rPr>
          <w:rFonts w:ascii="Times New Roman" w:hAnsi="Times New Roman" w:cs="Times New Roman"/>
          <w:color w:val="222222"/>
          <w:sz w:val="24"/>
          <w:szCs w:val="24"/>
          <w:shd w:val="clear" w:color="auto" w:fill="FFFFFF"/>
        </w:rPr>
        <w:t xml:space="preserve"> which states overwhelming practice in the 21</w:t>
      </w:r>
      <w:r w:rsidR="00726E26" w:rsidRPr="0043224D">
        <w:rPr>
          <w:rFonts w:ascii="Times New Roman" w:hAnsi="Times New Roman" w:cs="Times New Roman"/>
          <w:color w:val="222222"/>
          <w:sz w:val="24"/>
          <w:szCs w:val="24"/>
          <w:shd w:val="clear" w:color="auto" w:fill="FFFFFF"/>
          <w:vertAlign w:val="superscript"/>
        </w:rPr>
        <w:t>st</w:t>
      </w:r>
      <w:r w:rsidR="00726E26" w:rsidRPr="0043224D">
        <w:rPr>
          <w:rFonts w:ascii="Times New Roman" w:hAnsi="Times New Roman" w:cs="Times New Roman"/>
          <w:color w:val="222222"/>
          <w:sz w:val="24"/>
          <w:szCs w:val="24"/>
          <w:shd w:val="clear" w:color="auto" w:fill="FFFFFF"/>
        </w:rPr>
        <w:t xml:space="preserve"> century</w:t>
      </w:r>
      <w:r w:rsidR="000B30D3">
        <w:rPr>
          <w:rFonts w:ascii="Times New Roman" w:hAnsi="Times New Roman" w:cs="Times New Roman"/>
          <w:color w:val="222222"/>
          <w:sz w:val="24"/>
          <w:szCs w:val="24"/>
          <w:shd w:val="clear" w:color="auto" w:fill="FFFFFF"/>
        </w:rPr>
        <w:t>,</w:t>
      </w:r>
      <w:r w:rsidR="00726E26" w:rsidRPr="0043224D">
        <w:rPr>
          <w:rFonts w:ascii="Times New Roman" w:hAnsi="Times New Roman" w:cs="Times New Roman"/>
          <w:color w:val="222222"/>
          <w:sz w:val="24"/>
          <w:szCs w:val="24"/>
          <w:shd w:val="clear" w:color="auto" w:fill="FFFFFF"/>
        </w:rPr>
        <w:t xml:space="preserve"> undermines traditional indigenous modes of production: pastoralism, hunter-gathering, and shifting cultivation.</w:t>
      </w:r>
      <w:r w:rsidR="00EA7925" w:rsidRPr="0043224D">
        <w:rPr>
          <w:rFonts w:ascii="Times New Roman" w:hAnsi="Times New Roman" w:cs="Times New Roman"/>
          <w:color w:val="222222"/>
          <w:sz w:val="24"/>
          <w:szCs w:val="24"/>
          <w:shd w:val="clear" w:color="auto" w:fill="FFFFFF"/>
        </w:rPr>
        <w:t xml:space="preserve"> </w:t>
      </w:r>
      <w:r w:rsidR="00EA7925">
        <w:rPr>
          <w:rFonts w:ascii="Times New Roman" w:hAnsi="Times New Roman" w:cs="Times New Roman"/>
          <w:color w:val="222222"/>
          <w:sz w:val="24"/>
          <w:szCs w:val="24"/>
          <w:shd w:val="clear" w:color="auto" w:fill="FFFFFF"/>
        </w:rPr>
        <w:t xml:space="preserve"> </w:t>
      </w:r>
      <w:r w:rsidR="00B346A1" w:rsidRPr="0043224D">
        <w:rPr>
          <w:rFonts w:ascii="Times New Roman" w:hAnsi="Times New Roman" w:cs="Times New Roman"/>
          <w:color w:val="222222"/>
          <w:sz w:val="24"/>
          <w:szCs w:val="24"/>
          <w:shd w:val="clear" w:color="auto" w:fill="FFFFFF"/>
        </w:rPr>
        <w:t>Increasingly</w:t>
      </w:r>
      <w:r w:rsidR="00030EEB" w:rsidRPr="0043224D">
        <w:rPr>
          <w:rFonts w:ascii="Times New Roman" w:hAnsi="Times New Roman" w:cs="Times New Roman"/>
          <w:color w:val="222222"/>
          <w:sz w:val="24"/>
          <w:szCs w:val="24"/>
          <w:shd w:val="clear" w:color="auto" w:fill="FFFFFF"/>
        </w:rPr>
        <w:t>, the</w:t>
      </w:r>
      <w:r w:rsidR="00DE403D" w:rsidRPr="0043224D">
        <w:rPr>
          <w:rFonts w:ascii="Times New Roman" w:hAnsi="Times New Roman" w:cs="Times New Roman"/>
          <w:color w:val="222222"/>
          <w:sz w:val="24"/>
          <w:szCs w:val="24"/>
          <w:shd w:val="clear" w:color="auto" w:fill="FFFFFF"/>
        </w:rPr>
        <w:t xml:space="preserve"> contemporary paradigm of </w:t>
      </w:r>
      <w:r w:rsidR="00874E4D" w:rsidRPr="0043224D">
        <w:rPr>
          <w:rFonts w:ascii="Times New Roman" w:hAnsi="Times New Roman" w:cs="Times New Roman"/>
          <w:color w:val="222222"/>
          <w:sz w:val="24"/>
          <w:szCs w:val="24"/>
          <w:shd w:val="clear" w:color="auto" w:fill="FFFFFF"/>
        </w:rPr>
        <w:t>neo-liberal development</w:t>
      </w:r>
      <w:r w:rsidR="00DE403D" w:rsidRPr="0043224D">
        <w:rPr>
          <w:rFonts w:ascii="Times New Roman" w:hAnsi="Times New Roman" w:cs="Times New Roman"/>
          <w:color w:val="222222"/>
          <w:sz w:val="24"/>
          <w:szCs w:val="24"/>
          <w:shd w:val="clear" w:color="auto" w:fill="FFFFFF"/>
        </w:rPr>
        <w:t xml:space="preserve"> and the </w:t>
      </w:r>
      <w:r w:rsidR="00767D1C" w:rsidRPr="0043224D">
        <w:rPr>
          <w:rFonts w:ascii="Times New Roman" w:hAnsi="Times New Roman" w:cs="Times New Roman"/>
          <w:color w:val="222222"/>
          <w:sz w:val="24"/>
          <w:szCs w:val="24"/>
          <w:shd w:val="clear" w:color="auto" w:fill="FFFFFF"/>
        </w:rPr>
        <w:t>policy manifestation</w:t>
      </w:r>
      <w:r w:rsidR="00333CEC" w:rsidRPr="0043224D">
        <w:rPr>
          <w:rFonts w:ascii="Times New Roman" w:hAnsi="Times New Roman" w:cs="Times New Roman"/>
          <w:color w:val="222222"/>
          <w:sz w:val="24"/>
          <w:szCs w:val="24"/>
          <w:shd w:val="clear" w:color="auto" w:fill="FFFFFF"/>
        </w:rPr>
        <w:t>s which</w:t>
      </w:r>
      <w:r w:rsidR="00767D1C" w:rsidRPr="0043224D">
        <w:rPr>
          <w:rFonts w:ascii="Times New Roman" w:hAnsi="Times New Roman" w:cs="Times New Roman"/>
          <w:color w:val="222222"/>
          <w:sz w:val="24"/>
          <w:szCs w:val="24"/>
          <w:shd w:val="clear" w:color="auto" w:fill="FFFFFF"/>
        </w:rPr>
        <w:t xml:space="preserve"> follow at the national level </w:t>
      </w:r>
      <w:r w:rsidR="000B30D3">
        <w:rPr>
          <w:rFonts w:ascii="Times New Roman" w:hAnsi="Times New Roman" w:cs="Times New Roman"/>
          <w:color w:val="222222"/>
          <w:sz w:val="24"/>
          <w:szCs w:val="24"/>
          <w:shd w:val="clear" w:color="auto" w:fill="FFFFFF"/>
        </w:rPr>
        <w:t>claim an</w:t>
      </w:r>
      <w:r w:rsidR="00767D1C" w:rsidRPr="0043224D">
        <w:rPr>
          <w:rFonts w:ascii="Times New Roman" w:hAnsi="Times New Roman" w:cs="Times New Roman"/>
          <w:color w:val="222222"/>
          <w:sz w:val="24"/>
          <w:szCs w:val="24"/>
          <w:shd w:val="clear" w:color="auto" w:fill="FFFFFF"/>
        </w:rPr>
        <w:t xml:space="preserve"> immense toll</w:t>
      </w:r>
      <w:r w:rsidR="00333CEC" w:rsidRPr="0043224D">
        <w:rPr>
          <w:rFonts w:ascii="Times New Roman" w:hAnsi="Times New Roman" w:cs="Times New Roman"/>
          <w:color w:val="222222"/>
          <w:sz w:val="24"/>
          <w:szCs w:val="24"/>
          <w:shd w:val="clear" w:color="auto" w:fill="FFFFFF"/>
        </w:rPr>
        <w:t xml:space="preserve"> </w:t>
      </w:r>
      <w:r w:rsidR="000B30D3">
        <w:rPr>
          <w:rFonts w:ascii="Times New Roman" w:hAnsi="Times New Roman" w:cs="Times New Roman"/>
          <w:color w:val="222222"/>
          <w:sz w:val="24"/>
          <w:szCs w:val="24"/>
          <w:shd w:val="clear" w:color="auto" w:fill="FFFFFF"/>
        </w:rPr>
        <w:t>on</w:t>
      </w:r>
      <w:r w:rsidR="00333CEC" w:rsidRPr="0043224D">
        <w:rPr>
          <w:rFonts w:ascii="Times New Roman" w:hAnsi="Times New Roman" w:cs="Times New Roman"/>
          <w:color w:val="222222"/>
          <w:sz w:val="24"/>
          <w:szCs w:val="24"/>
          <w:shd w:val="clear" w:color="auto" w:fill="FFFFFF"/>
        </w:rPr>
        <w:t xml:space="preserve"> the cultural survival of indigenous societies</w:t>
      </w:r>
      <w:r w:rsidR="00767D1C" w:rsidRPr="0043224D">
        <w:rPr>
          <w:rFonts w:ascii="Times New Roman" w:hAnsi="Times New Roman" w:cs="Times New Roman"/>
          <w:color w:val="222222"/>
          <w:sz w:val="24"/>
          <w:szCs w:val="24"/>
          <w:shd w:val="clear" w:color="auto" w:fill="FFFFFF"/>
        </w:rPr>
        <w:t>-</w:t>
      </w:r>
      <w:r w:rsidR="00030EEB" w:rsidRPr="0043224D">
        <w:rPr>
          <w:rFonts w:ascii="Times New Roman" w:hAnsi="Times New Roman" w:cs="Times New Roman"/>
          <w:color w:val="222222"/>
          <w:sz w:val="24"/>
          <w:szCs w:val="24"/>
          <w:shd w:val="clear" w:color="auto" w:fill="FFFFFF"/>
        </w:rPr>
        <w:t xml:space="preserve">especially the effects of </w:t>
      </w:r>
      <w:r w:rsidR="00DE403D" w:rsidRPr="0043224D">
        <w:rPr>
          <w:rFonts w:ascii="Times New Roman" w:hAnsi="Times New Roman" w:cs="Times New Roman"/>
          <w:color w:val="222222"/>
          <w:sz w:val="24"/>
          <w:szCs w:val="24"/>
          <w:shd w:val="clear" w:color="auto" w:fill="FFFFFF"/>
        </w:rPr>
        <w:t>large-scale projects such as oil and g</w:t>
      </w:r>
      <w:r w:rsidR="00767D1C" w:rsidRPr="0043224D">
        <w:rPr>
          <w:rFonts w:ascii="Times New Roman" w:hAnsi="Times New Roman" w:cs="Times New Roman"/>
          <w:color w:val="222222"/>
          <w:sz w:val="24"/>
          <w:szCs w:val="24"/>
          <w:shd w:val="clear" w:color="auto" w:fill="FFFFFF"/>
        </w:rPr>
        <w:t>as pipelines</w:t>
      </w:r>
      <w:r w:rsidR="00A812EC" w:rsidRPr="0043224D">
        <w:rPr>
          <w:rFonts w:ascii="Times New Roman" w:hAnsi="Times New Roman" w:cs="Times New Roman"/>
          <w:color w:val="222222"/>
          <w:sz w:val="24"/>
          <w:szCs w:val="24"/>
          <w:shd w:val="clear" w:color="auto" w:fill="FFFFFF"/>
        </w:rPr>
        <w:t xml:space="preserve"> and</w:t>
      </w:r>
      <w:r w:rsidR="00767D1C" w:rsidRPr="0043224D">
        <w:rPr>
          <w:rFonts w:ascii="Times New Roman" w:hAnsi="Times New Roman" w:cs="Times New Roman"/>
          <w:color w:val="222222"/>
          <w:sz w:val="24"/>
          <w:szCs w:val="24"/>
          <w:shd w:val="clear" w:color="auto" w:fill="FFFFFF"/>
        </w:rPr>
        <w:t xml:space="preserve"> hydroelectric dams</w:t>
      </w:r>
      <w:r w:rsidR="00DE403D" w:rsidRPr="0043224D">
        <w:rPr>
          <w:rFonts w:ascii="Times New Roman" w:hAnsi="Times New Roman" w:cs="Times New Roman"/>
          <w:color w:val="222222"/>
          <w:sz w:val="24"/>
          <w:szCs w:val="24"/>
          <w:shd w:val="clear" w:color="auto" w:fill="FFFFFF"/>
        </w:rPr>
        <w:t xml:space="preserve">. </w:t>
      </w:r>
      <w:r w:rsidR="00030EEB" w:rsidRPr="0043224D">
        <w:rPr>
          <w:rFonts w:ascii="Times New Roman" w:hAnsi="Times New Roman" w:cs="Times New Roman"/>
          <w:color w:val="222222"/>
          <w:sz w:val="24"/>
          <w:szCs w:val="24"/>
          <w:shd w:val="clear" w:color="auto" w:fill="FFFFFF"/>
        </w:rPr>
        <w:t xml:space="preserve"> </w:t>
      </w:r>
      <w:r w:rsidR="00333CEC" w:rsidRPr="0043224D">
        <w:rPr>
          <w:rFonts w:ascii="Times New Roman" w:hAnsi="Times New Roman" w:cs="Times New Roman"/>
          <w:color w:val="222222"/>
          <w:sz w:val="24"/>
          <w:szCs w:val="24"/>
          <w:shd w:val="clear" w:color="auto" w:fill="FFFFFF"/>
        </w:rPr>
        <w:t xml:space="preserve"> </w:t>
      </w:r>
      <w:r w:rsidR="00BB174B" w:rsidRPr="0043224D">
        <w:rPr>
          <w:rFonts w:ascii="Times New Roman" w:hAnsi="Times New Roman" w:cs="Times New Roman"/>
          <w:color w:val="222222"/>
          <w:sz w:val="24"/>
          <w:szCs w:val="24"/>
          <w:shd w:val="clear" w:color="auto" w:fill="FFFFFF"/>
        </w:rPr>
        <w:t xml:space="preserve"> </w:t>
      </w:r>
    </w:p>
    <w:p w:rsidR="008F132B" w:rsidRPr="0043224D" w:rsidRDefault="00767D1C" w:rsidP="00060EEC">
      <w:pPr>
        <w:spacing w:line="360" w:lineRule="auto"/>
        <w:ind w:firstLine="720"/>
        <w:rPr>
          <w:rFonts w:ascii="Times New Roman" w:hAnsi="Times New Roman" w:cs="Times New Roman"/>
          <w:color w:val="222222"/>
          <w:sz w:val="24"/>
          <w:szCs w:val="24"/>
          <w:shd w:val="clear" w:color="auto" w:fill="FFFFFF"/>
        </w:rPr>
      </w:pPr>
      <w:r w:rsidRPr="0043224D">
        <w:rPr>
          <w:rFonts w:ascii="Times New Roman" w:hAnsi="Times New Roman" w:cs="Times New Roman"/>
          <w:color w:val="222222"/>
          <w:sz w:val="24"/>
          <w:szCs w:val="24"/>
          <w:shd w:val="clear" w:color="auto" w:fill="FFFFFF"/>
        </w:rPr>
        <w:t>It is a particularly exigent</w:t>
      </w:r>
      <w:r w:rsidR="00DE403D" w:rsidRPr="0043224D">
        <w:rPr>
          <w:rFonts w:ascii="Times New Roman" w:hAnsi="Times New Roman" w:cs="Times New Roman"/>
          <w:color w:val="222222"/>
          <w:sz w:val="24"/>
          <w:szCs w:val="24"/>
          <w:shd w:val="clear" w:color="auto" w:fill="FFFFFF"/>
        </w:rPr>
        <w:t xml:space="preserve"> phenomenon</w:t>
      </w:r>
      <w:r w:rsidR="00A812EC" w:rsidRPr="0043224D">
        <w:rPr>
          <w:rFonts w:ascii="Times New Roman" w:hAnsi="Times New Roman" w:cs="Times New Roman"/>
          <w:color w:val="222222"/>
          <w:sz w:val="24"/>
          <w:szCs w:val="24"/>
          <w:shd w:val="clear" w:color="auto" w:fill="FFFFFF"/>
        </w:rPr>
        <w:t xml:space="preserve">, </w:t>
      </w:r>
      <w:r w:rsidR="008F132B" w:rsidRPr="0043224D">
        <w:rPr>
          <w:rFonts w:ascii="Times New Roman" w:hAnsi="Times New Roman" w:cs="Times New Roman"/>
          <w:color w:val="222222"/>
          <w:sz w:val="24"/>
          <w:szCs w:val="24"/>
          <w:shd w:val="clear" w:color="auto" w:fill="FFFFFF"/>
        </w:rPr>
        <w:t xml:space="preserve">and one </w:t>
      </w:r>
      <w:r w:rsidR="00A812EC" w:rsidRPr="0043224D">
        <w:rPr>
          <w:rFonts w:ascii="Times New Roman" w:hAnsi="Times New Roman" w:cs="Times New Roman"/>
          <w:color w:val="222222"/>
          <w:sz w:val="24"/>
          <w:szCs w:val="24"/>
          <w:shd w:val="clear" w:color="auto" w:fill="FFFFFF"/>
        </w:rPr>
        <w:t>which has been</w:t>
      </w:r>
      <w:r w:rsidR="00DE403D" w:rsidRPr="0043224D">
        <w:rPr>
          <w:rFonts w:ascii="Times New Roman" w:hAnsi="Times New Roman" w:cs="Times New Roman"/>
          <w:color w:val="222222"/>
          <w:sz w:val="24"/>
          <w:szCs w:val="24"/>
          <w:shd w:val="clear" w:color="auto" w:fill="FFFFFF"/>
        </w:rPr>
        <w:t xml:space="preserve"> described by Cathal Doyle and Jérémie Gilbert as the imposition of an externally imposed</w:t>
      </w:r>
      <w:r w:rsidR="00CB552A" w:rsidRPr="0043224D">
        <w:rPr>
          <w:rFonts w:ascii="Times New Roman" w:hAnsi="Times New Roman" w:cs="Times New Roman"/>
          <w:color w:val="222222"/>
          <w:sz w:val="24"/>
          <w:szCs w:val="24"/>
          <w:shd w:val="clear" w:color="auto" w:fill="FFFFFF"/>
        </w:rPr>
        <w:t xml:space="preserve"> model of</w:t>
      </w:r>
      <w:r w:rsidR="00DE403D" w:rsidRPr="0043224D">
        <w:rPr>
          <w:rFonts w:ascii="Times New Roman" w:hAnsi="Times New Roman" w:cs="Times New Roman"/>
          <w:color w:val="222222"/>
          <w:sz w:val="24"/>
          <w:szCs w:val="24"/>
          <w:shd w:val="clear" w:color="auto" w:fill="FFFFFF"/>
        </w:rPr>
        <w:t xml:space="preserve"> “deve</w:t>
      </w:r>
      <w:r w:rsidR="00B346A1" w:rsidRPr="0043224D">
        <w:rPr>
          <w:rFonts w:ascii="Times New Roman" w:hAnsi="Times New Roman" w:cs="Times New Roman"/>
          <w:color w:val="222222"/>
          <w:sz w:val="24"/>
          <w:szCs w:val="24"/>
          <w:shd w:val="clear" w:color="auto" w:fill="FFFFFF"/>
        </w:rPr>
        <w:t>lopment</w:t>
      </w:r>
      <w:r w:rsidR="00DE403D" w:rsidRPr="0043224D">
        <w:rPr>
          <w:rFonts w:ascii="Times New Roman" w:hAnsi="Times New Roman" w:cs="Times New Roman"/>
          <w:color w:val="222222"/>
          <w:sz w:val="24"/>
          <w:szCs w:val="24"/>
          <w:shd w:val="clear" w:color="auto" w:fill="FFFFFF"/>
        </w:rPr>
        <w:t xml:space="preserve"> aggression”</w:t>
      </w:r>
      <w:r w:rsidR="00333CEC" w:rsidRPr="0043224D">
        <w:rPr>
          <w:rFonts w:ascii="Times New Roman" w:hAnsi="Times New Roman" w:cs="Times New Roman"/>
          <w:color w:val="222222"/>
          <w:sz w:val="24"/>
          <w:szCs w:val="24"/>
          <w:shd w:val="clear" w:color="auto" w:fill="FFFFFF"/>
        </w:rPr>
        <w:t>.</w:t>
      </w:r>
      <w:r w:rsidR="008F132B" w:rsidRPr="0043224D">
        <w:rPr>
          <w:rStyle w:val="FootnoteReference"/>
          <w:rFonts w:ascii="Times New Roman" w:hAnsi="Times New Roman" w:cs="Times New Roman"/>
          <w:color w:val="222222"/>
          <w:sz w:val="24"/>
          <w:szCs w:val="24"/>
          <w:shd w:val="clear" w:color="auto" w:fill="FFFFFF"/>
        </w:rPr>
        <w:footnoteReference w:id="83"/>
      </w:r>
      <w:r w:rsidR="00B346A1" w:rsidRPr="0043224D">
        <w:rPr>
          <w:rFonts w:ascii="Times New Roman" w:hAnsi="Times New Roman" w:cs="Times New Roman"/>
          <w:color w:val="222222"/>
          <w:sz w:val="24"/>
          <w:szCs w:val="24"/>
          <w:shd w:val="clear" w:color="auto" w:fill="FFFFFF"/>
        </w:rPr>
        <w:t xml:space="preserve"> </w:t>
      </w:r>
      <w:r w:rsidR="00333CEC" w:rsidRPr="0043224D">
        <w:rPr>
          <w:rFonts w:ascii="Times New Roman" w:hAnsi="Times New Roman" w:cs="Times New Roman"/>
          <w:color w:val="222222"/>
          <w:sz w:val="24"/>
          <w:szCs w:val="24"/>
          <w:shd w:val="clear" w:color="auto" w:fill="FFFFFF"/>
        </w:rPr>
        <w:t>They</w:t>
      </w:r>
      <w:r w:rsidR="00A812EC" w:rsidRPr="0043224D">
        <w:rPr>
          <w:rFonts w:ascii="Times New Roman" w:hAnsi="Times New Roman" w:cs="Times New Roman"/>
          <w:color w:val="222222"/>
          <w:sz w:val="24"/>
          <w:szCs w:val="24"/>
          <w:shd w:val="clear" w:color="auto" w:fill="FFFFFF"/>
        </w:rPr>
        <w:t xml:space="preserve"> also</w:t>
      </w:r>
      <w:r w:rsidR="00B346A1" w:rsidRPr="0043224D">
        <w:rPr>
          <w:rFonts w:ascii="Times New Roman" w:hAnsi="Times New Roman" w:cs="Times New Roman"/>
          <w:color w:val="222222"/>
          <w:sz w:val="24"/>
          <w:szCs w:val="24"/>
          <w:shd w:val="clear" w:color="auto" w:fill="FFFFFF"/>
        </w:rPr>
        <w:t xml:space="preserve"> </w:t>
      </w:r>
      <w:r w:rsidR="00A812EC" w:rsidRPr="0043224D">
        <w:rPr>
          <w:rFonts w:ascii="Times New Roman" w:hAnsi="Times New Roman" w:cs="Times New Roman"/>
          <w:color w:val="222222"/>
          <w:sz w:val="24"/>
          <w:szCs w:val="24"/>
          <w:shd w:val="clear" w:color="auto" w:fill="FFFFFF"/>
        </w:rPr>
        <w:t>note</w:t>
      </w:r>
      <w:r w:rsidR="00030EEB" w:rsidRPr="0043224D">
        <w:rPr>
          <w:rFonts w:ascii="Times New Roman" w:hAnsi="Times New Roman" w:cs="Times New Roman"/>
          <w:color w:val="222222"/>
          <w:sz w:val="24"/>
          <w:szCs w:val="24"/>
          <w:shd w:val="clear" w:color="auto" w:fill="FFFFFF"/>
        </w:rPr>
        <w:t xml:space="preserve"> that</w:t>
      </w:r>
      <w:r w:rsidR="009951E4" w:rsidRPr="0043224D">
        <w:rPr>
          <w:rFonts w:ascii="Times New Roman" w:hAnsi="Times New Roman" w:cs="Times New Roman"/>
          <w:color w:val="222222"/>
          <w:sz w:val="24"/>
          <w:szCs w:val="24"/>
          <w:shd w:val="clear" w:color="auto" w:fill="FFFFFF"/>
        </w:rPr>
        <w:t>, “I</w:t>
      </w:r>
      <w:r w:rsidR="00B346A1" w:rsidRPr="0043224D">
        <w:rPr>
          <w:rFonts w:ascii="Times New Roman" w:hAnsi="Times New Roman" w:cs="Times New Roman"/>
          <w:color w:val="222222"/>
          <w:sz w:val="24"/>
          <w:szCs w:val="24"/>
          <w:shd w:val="clear" w:color="auto" w:fill="FFFFFF"/>
        </w:rPr>
        <w:t>ndigenous peoples are increasingly the victims of systematic abuse associated with imposed forms of economic development”</w:t>
      </w:r>
      <w:r w:rsidR="00CB552A" w:rsidRPr="0043224D">
        <w:rPr>
          <w:rStyle w:val="FootnoteReference"/>
          <w:rFonts w:ascii="Times New Roman" w:hAnsi="Times New Roman" w:cs="Times New Roman"/>
          <w:color w:val="222222"/>
          <w:sz w:val="24"/>
          <w:szCs w:val="24"/>
          <w:shd w:val="clear" w:color="auto" w:fill="FFFFFF"/>
        </w:rPr>
        <w:footnoteReference w:id="84"/>
      </w:r>
      <w:r w:rsidR="00B346A1" w:rsidRPr="0043224D">
        <w:rPr>
          <w:rFonts w:ascii="Times New Roman" w:hAnsi="Times New Roman" w:cs="Times New Roman"/>
          <w:color w:val="222222"/>
          <w:sz w:val="24"/>
          <w:szCs w:val="24"/>
          <w:shd w:val="clear" w:color="auto" w:fill="FFFFFF"/>
        </w:rPr>
        <w:t xml:space="preserve"> and </w:t>
      </w:r>
      <w:r w:rsidR="00A812EC" w:rsidRPr="0043224D">
        <w:rPr>
          <w:rFonts w:ascii="Times New Roman" w:hAnsi="Times New Roman" w:cs="Times New Roman"/>
          <w:color w:val="222222"/>
          <w:sz w:val="24"/>
          <w:szCs w:val="24"/>
          <w:shd w:val="clear" w:color="auto" w:fill="FFFFFF"/>
        </w:rPr>
        <w:t>furthermore</w:t>
      </w:r>
      <w:r w:rsidR="008F132B" w:rsidRPr="0043224D">
        <w:rPr>
          <w:rFonts w:ascii="Times New Roman" w:hAnsi="Times New Roman" w:cs="Times New Roman"/>
          <w:color w:val="222222"/>
          <w:sz w:val="24"/>
          <w:szCs w:val="24"/>
          <w:shd w:val="clear" w:color="auto" w:fill="FFFFFF"/>
        </w:rPr>
        <w:t xml:space="preserve"> that</w:t>
      </w:r>
      <w:r w:rsidR="004E3D92" w:rsidRPr="0043224D">
        <w:rPr>
          <w:rFonts w:ascii="Times New Roman" w:hAnsi="Times New Roman" w:cs="Times New Roman"/>
          <w:color w:val="222222"/>
          <w:sz w:val="24"/>
          <w:szCs w:val="24"/>
          <w:shd w:val="clear" w:color="auto" w:fill="FFFFFF"/>
        </w:rPr>
        <w:t>, “[T</w:t>
      </w:r>
      <w:r w:rsidR="00B346A1" w:rsidRPr="0043224D">
        <w:rPr>
          <w:rFonts w:ascii="Times New Roman" w:hAnsi="Times New Roman" w:cs="Times New Roman"/>
          <w:color w:val="222222"/>
          <w:sz w:val="24"/>
          <w:szCs w:val="24"/>
          <w:shd w:val="clear" w:color="auto" w:fill="FFFFFF"/>
        </w:rPr>
        <w:t>]hese models of development and the process by which they are imposed on indigenous peoples are a function of the manner in which economic globalizat</w:t>
      </w:r>
      <w:r w:rsidR="00A812EC" w:rsidRPr="0043224D">
        <w:rPr>
          <w:rFonts w:ascii="Times New Roman" w:hAnsi="Times New Roman" w:cs="Times New Roman"/>
          <w:color w:val="222222"/>
          <w:sz w:val="24"/>
          <w:szCs w:val="24"/>
          <w:shd w:val="clear" w:color="auto" w:fill="FFFFFF"/>
        </w:rPr>
        <w:t>ion is managed and controlled.”</w:t>
      </w:r>
      <w:r w:rsidR="00B346A1" w:rsidRPr="0043224D">
        <w:rPr>
          <w:rStyle w:val="FootnoteReference"/>
          <w:rFonts w:ascii="Times New Roman" w:hAnsi="Times New Roman" w:cs="Times New Roman"/>
          <w:color w:val="222222"/>
          <w:sz w:val="24"/>
          <w:szCs w:val="24"/>
          <w:shd w:val="clear" w:color="auto" w:fill="FFFFFF"/>
        </w:rPr>
        <w:footnoteReference w:id="85"/>
      </w:r>
      <w:r w:rsidR="00B346A1" w:rsidRPr="0043224D">
        <w:rPr>
          <w:rFonts w:ascii="Times New Roman" w:hAnsi="Times New Roman" w:cs="Times New Roman"/>
          <w:color w:val="222222"/>
          <w:sz w:val="24"/>
          <w:szCs w:val="24"/>
          <w:shd w:val="clear" w:color="auto" w:fill="FFFFFF"/>
        </w:rPr>
        <w:t xml:space="preserve"> </w:t>
      </w:r>
      <w:r w:rsidR="004D71E8" w:rsidRPr="0043224D">
        <w:rPr>
          <w:rFonts w:ascii="Times New Roman" w:hAnsi="Times New Roman" w:cs="Times New Roman"/>
          <w:color w:val="222222"/>
          <w:sz w:val="24"/>
          <w:szCs w:val="24"/>
          <w:shd w:val="clear" w:color="auto" w:fill="FFFFFF"/>
        </w:rPr>
        <w:t xml:space="preserve">                 </w:t>
      </w:r>
    </w:p>
    <w:p w:rsidR="00C52A28" w:rsidRPr="0043224D" w:rsidRDefault="00A812EC" w:rsidP="00060EEC">
      <w:pPr>
        <w:spacing w:line="360" w:lineRule="auto"/>
        <w:ind w:firstLine="720"/>
        <w:rPr>
          <w:rFonts w:ascii="Times New Roman" w:hAnsi="Times New Roman" w:cs="Times New Roman"/>
          <w:color w:val="222222"/>
          <w:sz w:val="24"/>
          <w:szCs w:val="24"/>
          <w:shd w:val="clear" w:color="auto" w:fill="FFFFFF"/>
        </w:rPr>
      </w:pPr>
      <w:r w:rsidRPr="0043224D">
        <w:rPr>
          <w:rFonts w:ascii="Times New Roman" w:hAnsi="Times New Roman" w:cs="Times New Roman"/>
          <w:color w:val="222222"/>
          <w:sz w:val="24"/>
          <w:szCs w:val="24"/>
          <w:shd w:val="clear" w:color="auto" w:fill="FFFFFF"/>
        </w:rPr>
        <w:t xml:space="preserve">In </w:t>
      </w:r>
      <w:r w:rsidR="008D5D72" w:rsidRPr="0043224D">
        <w:rPr>
          <w:rFonts w:ascii="Times New Roman" w:hAnsi="Times New Roman" w:cs="Times New Roman"/>
          <w:color w:val="222222"/>
          <w:sz w:val="24"/>
          <w:szCs w:val="24"/>
          <w:shd w:val="clear" w:color="auto" w:fill="FFFFFF"/>
        </w:rPr>
        <w:t xml:space="preserve">truth </w:t>
      </w:r>
      <w:r w:rsidRPr="0043224D">
        <w:rPr>
          <w:rFonts w:ascii="Times New Roman" w:hAnsi="Times New Roman" w:cs="Times New Roman"/>
          <w:color w:val="222222"/>
          <w:sz w:val="24"/>
          <w:szCs w:val="24"/>
          <w:shd w:val="clear" w:color="auto" w:fill="FFFFFF"/>
        </w:rPr>
        <w:t xml:space="preserve">of course, </w:t>
      </w:r>
      <w:r w:rsidR="008F132B" w:rsidRPr="0043224D">
        <w:rPr>
          <w:rFonts w:ascii="Times New Roman" w:hAnsi="Times New Roman" w:cs="Times New Roman"/>
          <w:color w:val="222222"/>
          <w:sz w:val="24"/>
          <w:szCs w:val="24"/>
          <w:shd w:val="clear" w:color="auto" w:fill="FFFFFF"/>
        </w:rPr>
        <w:t xml:space="preserve">as Doyle and Gilbert and others have </w:t>
      </w:r>
      <w:r w:rsidR="00C52A28" w:rsidRPr="0043224D">
        <w:rPr>
          <w:rFonts w:ascii="Times New Roman" w:hAnsi="Times New Roman" w:cs="Times New Roman"/>
          <w:color w:val="222222"/>
          <w:sz w:val="24"/>
          <w:szCs w:val="24"/>
          <w:shd w:val="clear" w:color="auto" w:fill="FFFFFF"/>
        </w:rPr>
        <w:t>implied</w:t>
      </w:r>
      <w:r w:rsidR="008F132B" w:rsidRPr="0043224D">
        <w:rPr>
          <w:rFonts w:ascii="Times New Roman" w:hAnsi="Times New Roman" w:cs="Times New Roman"/>
          <w:color w:val="222222"/>
          <w:sz w:val="24"/>
          <w:szCs w:val="24"/>
          <w:shd w:val="clear" w:color="auto" w:fill="FFFFFF"/>
        </w:rPr>
        <w:t xml:space="preserve">, </w:t>
      </w:r>
      <w:r w:rsidR="007F472C" w:rsidRPr="0043224D">
        <w:rPr>
          <w:rFonts w:ascii="Times New Roman" w:hAnsi="Times New Roman" w:cs="Times New Roman"/>
          <w:color w:val="222222"/>
          <w:sz w:val="24"/>
          <w:szCs w:val="24"/>
          <w:shd w:val="clear" w:color="auto" w:fill="FFFFFF"/>
        </w:rPr>
        <w:t xml:space="preserve">it is </w:t>
      </w:r>
      <w:r w:rsidRPr="0043224D">
        <w:rPr>
          <w:rFonts w:ascii="Times New Roman" w:hAnsi="Times New Roman" w:cs="Times New Roman"/>
          <w:color w:val="222222"/>
          <w:sz w:val="24"/>
          <w:szCs w:val="24"/>
          <w:shd w:val="clear" w:color="auto" w:fill="FFFFFF"/>
        </w:rPr>
        <w:t xml:space="preserve">very much an asymmetric </w:t>
      </w:r>
      <w:r w:rsidR="008F132B" w:rsidRPr="0043224D">
        <w:rPr>
          <w:rFonts w:ascii="Times New Roman" w:hAnsi="Times New Roman" w:cs="Times New Roman"/>
          <w:color w:val="222222"/>
          <w:sz w:val="24"/>
          <w:szCs w:val="24"/>
          <w:shd w:val="clear" w:color="auto" w:fill="FFFFFF"/>
        </w:rPr>
        <w:t xml:space="preserve">struggle. </w:t>
      </w:r>
      <w:r w:rsidR="004D71E8" w:rsidRPr="0043224D">
        <w:rPr>
          <w:rFonts w:ascii="Times New Roman" w:hAnsi="Times New Roman" w:cs="Times New Roman"/>
          <w:color w:val="222222"/>
          <w:sz w:val="24"/>
          <w:szCs w:val="24"/>
          <w:shd w:val="clear" w:color="auto" w:fill="FFFFFF"/>
        </w:rPr>
        <w:t xml:space="preserve">A </w:t>
      </w:r>
      <w:r w:rsidR="008F132B" w:rsidRPr="0043224D">
        <w:rPr>
          <w:rFonts w:ascii="Times New Roman" w:hAnsi="Times New Roman" w:cs="Times New Roman"/>
          <w:color w:val="222222"/>
          <w:sz w:val="24"/>
          <w:szCs w:val="24"/>
          <w:shd w:val="clear" w:color="auto" w:fill="FFFFFF"/>
        </w:rPr>
        <w:t>struggle</w:t>
      </w:r>
      <w:r w:rsidR="008D5D72" w:rsidRPr="0043224D">
        <w:rPr>
          <w:rFonts w:ascii="Times New Roman" w:hAnsi="Times New Roman" w:cs="Times New Roman"/>
          <w:color w:val="222222"/>
          <w:sz w:val="24"/>
          <w:szCs w:val="24"/>
          <w:shd w:val="clear" w:color="auto" w:fill="FFFFFF"/>
        </w:rPr>
        <w:t xml:space="preserve"> that is</w:t>
      </w:r>
      <w:r w:rsidR="004D71E8" w:rsidRPr="0043224D">
        <w:rPr>
          <w:rFonts w:ascii="Times New Roman" w:hAnsi="Times New Roman" w:cs="Times New Roman"/>
          <w:color w:val="222222"/>
          <w:sz w:val="24"/>
          <w:szCs w:val="24"/>
          <w:shd w:val="clear" w:color="auto" w:fill="FFFFFF"/>
        </w:rPr>
        <w:t xml:space="preserve"> between</w:t>
      </w:r>
      <w:r w:rsidRPr="0043224D">
        <w:rPr>
          <w:rFonts w:ascii="Times New Roman" w:hAnsi="Times New Roman" w:cs="Times New Roman"/>
          <w:color w:val="222222"/>
          <w:sz w:val="24"/>
          <w:szCs w:val="24"/>
          <w:shd w:val="clear" w:color="auto" w:fill="FFFFFF"/>
        </w:rPr>
        <w:t>, on the one hand, marginalised and more often than not disenfranchised indigenous peoples, a</w:t>
      </w:r>
      <w:r w:rsidR="004D71E8" w:rsidRPr="0043224D">
        <w:rPr>
          <w:rFonts w:ascii="Times New Roman" w:hAnsi="Times New Roman" w:cs="Times New Roman"/>
          <w:color w:val="222222"/>
          <w:sz w:val="24"/>
          <w:szCs w:val="24"/>
          <w:shd w:val="clear" w:color="auto" w:fill="FFFFFF"/>
        </w:rPr>
        <w:t>nd on the other</w:t>
      </w:r>
      <w:r w:rsidR="00D517C7" w:rsidRPr="0043224D">
        <w:rPr>
          <w:rFonts w:ascii="Times New Roman" w:hAnsi="Times New Roman" w:cs="Times New Roman"/>
          <w:color w:val="222222"/>
          <w:sz w:val="24"/>
          <w:szCs w:val="24"/>
          <w:shd w:val="clear" w:color="auto" w:fill="FFFFFF"/>
        </w:rPr>
        <w:t xml:space="preserve"> hand</w:t>
      </w:r>
      <w:r w:rsidR="004D71E8" w:rsidRPr="0043224D">
        <w:rPr>
          <w:rFonts w:ascii="Times New Roman" w:hAnsi="Times New Roman" w:cs="Times New Roman"/>
          <w:color w:val="222222"/>
          <w:sz w:val="24"/>
          <w:szCs w:val="24"/>
          <w:shd w:val="clear" w:color="auto" w:fill="FFFFFF"/>
        </w:rPr>
        <w:t xml:space="preserve">, developing states </w:t>
      </w:r>
      <w:r w:rsidR="008D5D72" w:rsidRPr="0043224D">
        <w:rPr>
          <w:rFonts w:ascii="Times New Roman" w:hAnsi="Times New Roman" w:cs="Times New Roman"/>
          <w:color w:val="222222"/>
          <w:sz w:val="24"/>
          <w:szCs w:val="24"/>
          <w:shd w:val="clear" w:color="auto" w:fill="FFFFFF"/>
        </w:rPr>
        <w:t>which</w:t>
      </w:r>
      <w:r w:rsidR="004D71E8" w:rsidRPr="0043224D">
        <w:rPr>
          <w:rFonts w:ascii="Times New Roman" w:hAnsi="Times New Roman" w:cs="Times New Roman"/>
          <w:color w:val="222222"/>
          <w:sz w:val="24"/>
          <w:szCs w:val="24"/>
          <w:shd w:val="clear" w:color="auto" w:fill="FFFFFF"/>
        </w:rPr>
        <w:t xml:space="preserve"> although they have a legitimate economic </w:t>
      </w:r>
      <w:r w:rsidR="00763FAF">
        <w:rPr>
          <w:rFonts w:ascii="Times New Roman" w:hAnsi="Times New Roman" w:cs="Times New Roman"/>
          <w:color w:val="222222"/>
          <w:sz w:val="24"/>
          <w:szCs w:val="24"/>
          <w:shd w:val="clear" w:color="auto" w:fill="FFFFFF"/>
        </w:rPr>
        <w:t>right</w:t>
      </w:r>
      <w:r w:rsidR="004D71E8" w:rsidRPr="0043224D">
        <w:rPr>
          <w:rFonts w:ascii="Times New Roman" w:hAnsi="Times New Roman" w:cs="Times New Roman"/>
          <w:color w:val="222222"/>
          <w:sz w:val="24"/>
          <w:szCs w:val="24"/>
          <w:shd w:val="clear" w:color="auto" w:fill="FFFFFF"/>
        </w:rPr>
        <w:t xml:space="preserve"> to develo</w:t>
      </w:r>
      <w:r w:rsidR="008D5D72" w:rsidRPr="0043224D">
        <w:rPr>
          <w:rFonts w:ascii="Times New Roman" w:hAnsi="Times New Roman" w:cs="Times New Roman"/>
          <w:color w:val="222222"/>
          <w:sz w:val="24"/>
          <w:szCs w:val="24"/>
          <w:shd w:val="clear" w:color="auto" w:fill="FFFFFF"/>
        </w:rPr>
        <w:t>p, are also dictated to by the</w:t>
      </w:r>
      <w:r w:rsidR="00333BD7" w:rsidRPr="0043224D">
        <w:rPr>
          <w:rFonts w:ascii="Times New Roman" w:hAnsi="Times New Roman" w:cs="Times New Roman"/>
          <w:color w:val="222222"/>
          <w:sz w:val="24"/>
          <w:szCs w:val="24"/>
          <w:shd w:val="clear" w:color="auto" w:fill="FFFFFF"/>
        </w:rPr>
        <w:t xml:space="preserve"> resource</w:t>
      </w:r>
      <w:r w:rsidR="008D5D72" w:rsidRPr="0043224D">
        <w:rPr>
          <w:rFonts w:ascii="Times New Roman" w:hAnsi="Times New Roman" w:cs="Times New Roman"/>
          <w:color w:val="222222"/>
          <w:sz w:val="24"/>
          <w:szCs w:val="24"/>
          <w:shd w:val="clear" w:color="auto" w:fill="FFFFFF"/>
        </w:rPr>
        <w:t xml:space="preserve"> demands</w:t>
      </w:r>
      <w:r w:rsidR="004D71E8" w:rsidRPr="0043224D">
        <w:rPr>
          <w:rFonts w:ascii="Times New Roman" w:hAnsi="Times New Roman" w:cs="Times New Roman"/>
          <w:color w:val="222222"/>
          <w:sz w:val="24"/>
          <w:szCs w:val="24"/>
          <w:shd w:val="clear" w:color="auto" w:fill="FFFFFF"/>
        </w:rPr>
        <w:t xml:space="preserve"> of globalisation, especially</w:t>
      </w:r>
      <w:r w:rsidR="008D5D72" w:rsidRPr="0043224D">
        <w:rPr>
          <w:rFonts w:ascii="Times New Roman" w:hAnsi="Times New Roman" w:cs="Times New Roman"/>
          <w:color w:val="222222"/>
          <w:sz w:val="24"/>
          <w:szCs w:val="24"/>
          <w:shd w:val="clear" w:color="auto" w:fill="FFFFFF"/>
        </w:rPr>
        <w:t xml:space="preserve"> the demands of</w:t>
      </w:r>
      <w:r w:rsidR="004D71E8" w:rsidRPr="0043224D">
        <w:rPr>
          <w:rFonts w:ascii="Times New Roman" w:hAnsi="Times New Roman" w:cs="Times New Roman"/>
          <w:color w:val="222222"/>
          <w:sz w:val="24"/>
          <w:szCs w:val="24"/>
          <w:shd w:val="clear" w:color="auto" w:fill="FFFFFF"/>
        </w:rPr>
        <w:t xml:space="preserve"> global energy markets. </w:t>
      </w:r>
      <w:r w:rsidR="00C52A28" w:rsidRPr="0043224D">
        <w:rPr>
          <w:rFonts w:ascii="Times New Roman" w:hAnsi="Times New Roman" w:cs="Times New Roman"/>
          <w:color w:val="222222"/>
          <w:sz w:val="24"/>
          <w:szCs w:val="24"/>
          <w:shd w:val="clear" w:color="auto" w:fill="FFFFFF"/>
        </w:rPr>
        <w:t>Moreover, the imperatives of economic development, whether national or global, are not depoliticised sp</w:t>
      </w:r>
      <w:r w:rsidR="00333BD7" w:rsidRPr="0043224D">
        <w:rPr>
          <w:rFonts w:ascii="Times New Roman" w:hAnsi="Times New Roman" w:cs="Times New Roman"/>
          <w:color w:val="222222"/>
          <w:sz w:val="24"/>
          <w:szCs w:val="24"/>
          <w:shd w:val="clear" w:color="auto" w:fill="FFFFFF"/>
        </w:rPr>
        <w:t xml:space="preserve">heres of interest and influence: government agencies in tandem with large </w:t>
      </w:r>
      <w:r w:rsidR="00261AF6" w:rsidRPr="0043224D">
        <w:rPr>
          <w:rFonts w:ascii="Times New Roman" w:hAnsi="Times New Roman" w:cs="Times New Roman"/>
          <w:color w:val="222222"/>
          <w:sz w:val="24"/>
          <w:szCs w:val="24"/>
          <w:shd w:val="clear" w:color="auto" w:fill="FFFFFF"/>
        </w:rPr>
        <w:t>extractive</w:t>
      </w:r>
      <w:r w:rsidR="00333BD7" w:rsidRPr="0043224D">
        <w:rPr>
          <w:rFonts w:ascii="Times New Roman" w:hAnsi="Times New Roman" w:cs="Times New Roman"/>
          <w:color w:val="222222"/>
          <w:sz w:val="24"/>
          <w:szCs w:val="24"/>
          <w:shd w:val="clear" w:color="auto" w:fill="FFFFFF"/>
        </w:rPr>
        <w:t xml:space="preserve"> multinationals are</w:t>
      </w:r>
      <w:r w:rsidR="00261AF6" w:rsidRPr="0043224D">
        <w:rPr>
          <w:rFonts w:ascii="Times New Roman" w:hAnsi="Times New Roman" w:cs="Times New Roman"/>
          <w:color w:val="222222"/>
          <w:sz w:val="24"/>
          <w:szCs w:val="24"/>
          <w:shd w:val="clear" w:color="auto" w:fill="FFFFFF"/>
        </w:rPr>
        <w:t xml:space="preserve"> often</w:t>
      </w:r>
      <w:r w:rsidR="00333BD7" w:rsidRPr="0043224D">
        <w:rPr>
          <w:rFonts w:ascii="Times New Roman" w:hAnsi="Times New Roman" w:cs="Times New Roman"/>
          <w:color w:val="222222"/>
          <w:sz w:val="24"/>
          <w:szCs w:val="24"/>
          <w:shd w:val="clear" w:color="auto" w:fill="FFFFFF"/>
        </w:rPr>
        <w:t xml:space="preserve"> seen by many indigenous groups</w:t>
      </w:r>
      <w:r w:rsidR="00261AF6" w:rsidRPr="0043224D">
        <w:rPr>
          <w:rFonts w:ascii="Times New Roman" w:hAnsi="Times New Roman" w:cs="Times New Roman"/>
          <w:color w:val="222222"/>
          <w:sz w:val="24"/>
          <w:szCs w:val="24"/>
          <w:shd w:val="clear" w:color="auto" w:fill="FFFFFF"/>
        </w:rPr>
        <w:t xml:space="preserve"> as “development aggressors”, often acting conterminously in pursuit of mineral resources underneath their lands.</w:t>
      </w:r>
      <w:r w:rsidR="004E3D92" w:rsidRPr="0043224D">
        <w:rPr>
          <w:rStyle w:val="FootnoteReference"/>
          <w:rFonts w:ascii="Times New Roman" w:hAnsi="Times New Roman" w:cs="Times New Roman"/>
          <w:color w:val="222222"/>
          <w:sz w:val="24"/>
          <w:szCs w:val="24"/>
          <w:shd w:val="clear" w:color="auto" w:fill="FFFFFF"/>
        </w:rPr>
        <w:footnoteReference w:id="86"/>
      </w:r>
      <w:r w:rsidR="00C52A28" w:rsidRPr="0043224D">
        <w:rPr>
          <w:rFonts w:ascii="Times New Roman" w:hAnsi="Times New Roman" w:cs="Times New Roman"/>
          <w:color w:val="222222"/>
          <w:sz w:val="24"/>
          <w:szCs w:val="24"/>
          <w:shd w:val="clear" w:color="auto" w:fill="FFFFFF"/>
        </w:rPr>
        <w:t xml:space="preserve">   </w:t>
      </w:r>
    </w:p>
    <w:p w:rsidR="006B1BC8" w:rsidRPr="0043224D" w:rsidRDefault="00F3606F"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Much of the above</w:t>
      </w:r>
      <w:r w:rsidR="004D71E8" w:rsidRPr="0043224D">
        <w:rPr>
          <w:rFonts w:ascii="Times New Roman" w:hAnsi="Times New Roman" w:cs="Times New Roman"/>
          <w:sz w:val="24"/>
          <w:szCs w:val="24"/>
        </w:rPr>
        <w:t xml:space="preserve"> somewhat abstract</w:t>
      </w:r>
      <w:r w:rsidRPr="0043224D">
        <w:rPr>
          <w:rFonts w:ascii="Times New Roman" w:hAnsi="Times New Roman" w:cs="Times New Roman"/>
          <w:sz w:val="24"/>
          <w:szCs w:val="24"/>
        </w:rPr>
        <w:t xml:space="preserve"> discussion can be best illustrated in the case of the Dongria Kondh, a semi-nomadic indigenous</w:t>
      </w:r>
      <w:r w:rsidR="00234D4E" w:rsidRPr="0043224D">
        <w:rPr>
          <w:rFonts w:ascii="Times New Roman" w:hAnsi="Times New Roman" w:cs="Times New Roman"/>
          <w:sz w:val="24"/>
          <w:szCs w:val="24"/>
        </w:rPr>
        <w:t xml:space="preserve"> people, living on the Nyimgari hill range, Odisha, eastern India, and their </w:t>
      </w:r>
      <w:r w:rsidR="005866CF" w:rsidRPr="0043224D">
        <w:rPr>
          <w:rFonts w:ascii="Times New Roman" w:hAnsi="Times New Roman" w:cs="Times New Roman"/>
          <w:sz w:val="24"/>
          <w:szCs w:val="24"/>
        </w:rPr>
        <w:t>campaign for their right not to be displaced in the name of industrial development</w:t>
      </w:r>
      <w:r w:rsidR="00234D4E" w:rsidRPr="0043224D">
        <w:rPr>
          <w:rFonts w:ascii="Times New Roman" w:hAnsi="Times New Roman" w:cs="Times New Roman"/>
          <w:sz w:val="24"/>
          <w:szCs w:val="24"/>
        </w:rPr>
        <w:t xml:space="preserve"> against</w:t>
      </w:r>
      <w:r w:rsidR="005866CF" w:rsidRPr="0043224D">
        <w:rPr>
          <w:rFonts w:ascii="Times New Roman" w:hAnsi="Times New Roman" w:cs="Times New Roman"/>
          <w:sz w:val="24"/>
          <w:szCs w:val="24"/>
        </w:rPr>
        <w:t xml:space="preserve"> an open-pit</w:t>
      </w:r>
      <w:r w:rsidR="00234D4E" w:rsidRPr="0043224D">
        <w:rPr>
          <w:rFonts w:ascii="Times New Roman" w:hAnsi="Times New Roman" w:cs="Times New Roman"/>
          <w:sz w:val="24"/>
          <w:szCs w:val="24"/>
        </w:rPr>
        <w:t xml:space="preserve"> bauxite mining</w:t>
      </w:r>
      <w:r w:rsidR="005866CF" w:rsidRPr="0043224D">
        <w:rPr>
          <w:rFonts w:ascii="Times New Roman" w:hAnsi="Times New Roman" w:cs="Times New Roman"/>
          <w:sz w:val="24"/>
          <w:szCs w:val="24"/>
        </w:rPr>
        <w:t xml:space="preserve"> project</w:t>
      </w:r>
      <w:r w:rsidR="00234D4E" w:rsidRPr="0043224D">
        <w:rPr>
          <w:rFonts w:ascii="Times New Roman" w:hAnsi="Times New Roman" w:cs="Times New Roman"/>
          <w:sz w:val="24"/>
          <w:szCs w:val="24"/>
        </w:rPr>
        <w:t xml:space="preserve"> by Vedanta Resources, a global mining company based in London. </w:t>
      </w:r>
      <w:r w:rsidR="00333BD7" w:rsidRPr="0043224D">
        <w:rPr>
          <w:rFonts w:ascii="Times New Roman" w:hAnsi="Times New Roman" w:cs="Times New Roman"/>
          <w:sz w:val="24"/>
          <w:szCs w:val="24"/>
        </w:rPr>
        <w:t xml:space="preserve">The company was initially </w:t>
      </w:r>
      <w:r w:rsidR="00D517C7" w:rsidRPr="0043224D">
        <w:rPr>
          <w:rFonts w:ascii="Times New Roman" w:hAnsi="Times New Roman" w:cs="Times New Roman"/>
          <w:sz w:val="24"/>
          <w:szCs w:val="24"/>
        </w:rPr>
        <w:t xml:space="preserve">granted </w:t>
      </w:r>
      <w:r w:rsidR="00333BD7" w:rsidRPr="0043224D">
        <w:rPr>
          <w:rFonts w:ascii="Times New Roman" w:hAnsi="Times New Roman" w:cs="Times New Roman"/>
          <w:sz w:val="24"/>
          <w:szCs w:val="24"/>
        </w:rPr>
        <w:t>environmental clearance</w:t>
      </w:r>
      <w:r w:rsidR="00261AF6" w:rsidRPr="0043224D">
        <w:rPr>
          <w:rFonts w:ascii="Times New Roman" w:hAnsi="Times New Roman" w:cs="Times New Roman"/>
          <w:sz w:val="24"/>
          <w:szCs w:val="24"/>
        </w:rPr>
        <w:t xml:space="preserve"> in 2003 from the </w:t>
      </w:r>
      <w:r w:rsidR="00277B8C" w:rsidRPr="0043224D">
        <w:rPr>
          <w:rFonts w:ascii="Times New Roman" w:hAnsi="Times New Roman" w:cs="Times New Roman"/>
          <w:sz w:val="24"/>
          <w:szCs w:val="24"/>
        </w:rPr>
        <w:t>Indian</w:t>
      </w:r>
      <w:r w:rsidR="00471442">
        <w:rPr>
          <w:rFonts w:ascii="Times New Roman" w:hAnsi="Times New Roman" w:cs="Times New Roman"/>
          <w:sz w:val="24"/>
          <w:szCs w:val="24"/>
        </w:rPr>
        <w:t xml:space="preserve"> M</w:t>
      </w:r>
      <w:r w:rsidR="00277B8C" w:rsidRPr="0043224D">
        <w:rPr>
          <w:rFonts w:ascii="Times New Roman" w:hAnsi="Times New Roman" w:cs="Times New Roman"/>
          <w:sz w:val="24"/>
          <w:szCs w:val="24"/>
        </w:rPr>
        <w:t>inistry of Environment and F</w:t>
      </w:r>
      <w:r w:rsidR="00261AF6" w:rsidRPr="0043224D">
        <w:rPr>
          <w:rFonts w:ascii="Times New Roman" w:hAnsi="Times New Roman" w:cs="Times New Roman"/>
          <w:sz w:val="24"/>
          <w:szCs w:val="24"/>
        </w:rPr>
        <w:t>orests</w:t>
      </w:r>
      <w:r w:rsidR="00277B8C" w:rsidRPr="0043224D">
        <w:rPr>
          <w:rFonts w:ascii="Times New Roman" w:hAnsi="Times New Roman" w:cs="Times New Roman"/>
          <w:sz w:val="24"/>
          <w:szCs w:val="24"/>
        </w:rPr>
        <w:t xml:space="preserve"> (MoEF)</w:t>
      </w:r>
      <w:r w:rsidR="00261AF6" w:rsidRPr="0043224D">
        <w:rPr>
          <w:rFonts w:ascii="Times New Roman" w:hAnsi="Times New Roman" w:cs="Times New Roman"/>
          <w:sz w:val="24"/>
          <w:szCs w:val="24"/>
        </w:rPr>
        <w:t xml:space="preserve"> to construct an aluminium refinery, mostly for bauxite mining.</w:t>
      </w:r>
      <w:r w:rsidR="00BD6841" w:rsidRPr="0043224D">
        <w:rPr>
          <w:rStyle w:val="FootnoteReference"/>
          <w:rFonts w:ascii="Times New Roman" w:hAnsi="Times New Roman" w:cs="Times New Roman"/>
          <w:sz w:val="24"/>
          <w:szCs w:val="24"/>
        </w:rPr>
        <w:footnoteReference w:id="87"/>
      </w:r>
      <w:r w:rsidR="00C2711E" w:rsidRPr="0043224D">
        <w:rPr>
          <w:rFonts w:ascii="Times New Roman" w:hAnsi="Times New Roman" w:cs="Times New Roman"/>
          <w:sz w:val="24"/>
          <w:szCs w:val="24"/>
        </w:rPr>
        <w:t xml:space="preserve"> </w:t>
      </w:r>
      <w:r w:rsidR="000930D5" w:rsidRPr="0043224D">
        <w:rPr>
          <w:rFonts w:ascii="Times New Roman" w:hAnsi="Times New Roman" w:cs="Times New Roman"/>
          <w:sz w:val="24"/>
          <w:szCs w:val="24"/>
        </w:rPr>
        <w:t xml:space="preserve">Opponents of the project, including the </w:t>
      </w:r>
      <w:r w:rsidR="00D517C7" w:rsidRPr="0043224D">
        <w:rPr>
          <w:rFonts w:ascii="Times New Roman" w:hAnsi="Times New Roman" w:cs="Times New Roman"/>
          <w:sz w:val="24"/>
          <w:szCs w:val="24"/>
        </w:rPr>
        <w:t>Dongria Kondh</w:t>
      </w:r>
      <w:r w:rsidR="000930D5" w:rsidRPr="0043224D">
        <w:rPr>
          <w:rFonts w:ascii="Times New Roman" w:hAnsi="Times New Roman" w:cs="Times New Roman"/>
          <w:sz w:val="24"/>
          <w:szCs w:val="24"/>
        </w:rPr>
        <w:t xml:space="preserve"> and </w:t>
      </w:r>
      <w:r w:rsidR="00D517C7" w:rsidRPr="0043224D">
        <w:rPr>
          <w:rFonts w:ascii="Times New Roman" w:hAnsi="Times New Roman" w:cs="Times New Roman"/>
          <w:sz w:val="24"/>
          <w:szCs w:val="24"/>
        </w:rPr>
        <w:t xml:space="preserve">a range of local and international </w:t>
      </w:r>
      <w:r w:rsidR="000930D5" w:rsidRPr="0043224D">
        <w:rPr>
          <w:rFonts w:ascii="Times New Roman" w:hAnsi="Times New Roman" w:cs="Times New Roman"/>
          <w:sz w:val="24"/>
          <w:szCs w:val="24"/>
        </w:rPr>
        <w:t xml:space="preserve">NGOs, argued that bauxite mining, and its related social and environmental effects, would damage the spiritual and cultural attachment that the Dongria Kondh had with their ancestral land. More imminently, they alleged that violent displacement was taking place. </w:t>
      </w:r>
      <w:r w:rsidR="00277B8C" w:rsidRPr="0043224D">
        <w:rPr>
          <w:rFonts w:ascii="Times New Roman" w:hAnsi="Times New Roman" w:cs="Times New Roman"/>
          <w:sz w:val="24"/>
          <w:szCs w:val="24"/>
        </w:rPr>
        <w:t>In 2007, the Supreme Court of India agreed</w:t>
      </w:r>
      <w:r w:rsidR="00D517C7" w:rsidRPr="0043224D">
        <w:rPr>
          <w:rFonts w:ascii="Times New Roman" w:hAnsi="Times New Roman" w:cs="Times New Roman"/>
          <w:sz w:val="24"/>
          <w:szCs w:val="24"/>
        </w:rPr>
        <w:t>,</w:t>
      </w:r>
      <w:r w:rsidR="00277B8C" w:rsidRPr="0043224D">
        <w:rPr>
          <w:rFonts w:ascii="Times New Roman" w:hAnsi="Times New Roman" w:cs="Times New Roman"/>
          <w:sz w:val="24"/>
          <w:szCs w:val="24"/>
        </w:rPr>
        <w:t xml:space="preserve"> at least partially</w:t>
      </w:r>
      <w:r w:rsidR="00BD6841" w:rsidRPr="0043224D">
        <w:rPr>
          <w:rFonts w:ascii="Times New Roman" w:hAnsi="Times New Roman" w:cs="Times New Roman"/>
          <w:sz w:val="24"/>
          <w:szCs w:val="24"/>
        </w:rPr>
        <w:t>,</w:t>
      </w:r>
      <w:r w:rsidR="00277B8C" w:rsidRPr="0043224D">
        <w:rPr>
          <w:rFonts w:ascii="Times New Roman" w:hAnsi="Times New Roman" w:cs="Times New Roman"/>
          <w:sz w:val="24"/>
          <w:szCs w:val="24"/>
        </w:rPr>
        <w:t xml:space="preserve"> and barred Vedanta from further undertaking the project. The Court did however invite Vedanta to resubmit its proposals to the MoEF with the proviso </w:t>
      </w:r>
      <w:r w:rsidR="00C4267D" w:rsidRPr="0043224D">
        <w:rPr>
          <w:rFonts w:ascii="Times New Roman" w:hAnsi="Times New Roman" w:cs="Times New Roman"/>
          <w:sz w:val="24"/>
          <w:szCs w:val="24"/>
        </w:rPr>
        <w:t>that</w:t>
      </w:r>
      <w:r w:rsidR="00277B8C" w:rsidRPr="0043224D">
        <w:rPr>
          <w:rFonts w:ascii="Times New Roman" w:hAnsi="Times New Roman" w:cs="Times New Roman"/>
          <w:sz w:val="24"/>
          <w:szCs w:val="24"/>
        </w:rPr>
        <w:t xml:space="preserve"> it would align with environmental and social safeguards. </w:t>
      </w:r>
      <w:r w:rsidR="00A744D6" w:rsidRPr="0043224D">
        <w:rPr>
          <w:rFonts w:ascii="Times New Roman" w:hAnsi="Times New Roman" w:cs="Times New Roman"/>
          <w:sz w:val="24"/>
          <w:szCs w:val="24"/>
        </w:rPr>
        <w:t>On the 8</w:t>
      </w:r>
      <w:r w:rsidR="00A744D6" w:rsidRPr="0043224D">
        <w:rPr>
          <w:rFonts w:ascii="Times New Roman" w:hAnsi="Times New Roman" w:cs="Times New Roman"/>
          <w:sz w:val="24"/>
          <w:szCs w:val="24"/>
          <w:vertAlign w:val="superscript"/>
        </w:rPr>
        <w:t>th</w:t>
      </w:r>
      <w:r w:rsidR="00A744D6" w:rsidRPr="0043224D">
        <w:rPr>
          <w:rFonts w:ascii="Times New Roman" w:hAnsi="Times New Roman" w:cs="Times New Roman"/>
          <w:sz w:val="24"/>
          <w:szCs w:val="24"/>
        </w:rPr>
        <w:t xml:space="preserve"> August 2008 the Court permitted the </w:t>
      </w:r>
      <w:r w:rsidR="00EA7925">
        <w:rPr>
          <w:rFonts w:ascii="Times New Roman" w:hAnsi="Times New Roman" w:cs="Times New Roman"/>
          <w:sz w:val="24"/>
          <w:szCs w:val="24"/>
        </w:rPr>
        <w:t xml:space="preserve">project to recommence. </w:t>
      </w:r>
      <w:r w:rsidR="00EA7925" w:rsidRPr="00EA7925">
        <w:rPr>
          <w:rFonts w:ascii="Times New Roman" w:hAnsi="Times New Roman" w:cs="Times New Roman"/>
          <w:sz w:val="24"/>
          <w:szCs w:val="24"/>
        </w:rPr>
        <w:t>In turn, the MoEF</w:t>
      </w:r>
      <w:r w:rsidR="00A744D6" w:rsidRPr="00EA7925">
        <w:rPr>
          <w:rFonts w:ascii="Times New Roman" w:hAnsi="Times New Roman" w:cs="Times New Roman"/>
          <w:sz w:val="24"/>
          <w:szCs w:val="24"/>
        </w:rPr>
        <w:t xml:space="preserve"> perhaps fearing another international backlash, the case had become a cause </w:t>
      </w:r>
      <w:r w:rsidR="00A744D6" w:rsidRPr="00EA7925">
        <w:rPr>
          <w:rFonts w:ascii="Times New Roman" w:hAnsi="Times New Roman" w:cs="Times New Roman"/>
          <w:bCs/>
          <w:iCs/>
          <w:color w:val="252525"/>
          <w:sz w:val="24"/>
          <w:szCs w:val="24"/>
          <w:shd w:val="clear" w:color="auto" w:fill="FFFFFF"/>
        </w:rPr>
        <w:t>célèbre</w:t>
      </w:r>
      <w:r w:rsidR="00A744D6" w:rsidRPr="00EA7925">
        <w:rPr>
          <w:rFonts w:ascii="Times New Roman" w:hAnsi="Times New Roman" w:cs="Times New Roman"/>
          <w:sz w:val="24"/>
          <w:szCs w:val="24"/>
        </w:rPr>
        <w:t xml:space="preserve"> and had been taken up by Amnesty International and Survival International</w:t>
      </w:r>
      <w:r w:rsidR="0088100C" w:rsidRPr="00EA7925">
        <w:rPr>
          <w:rFonts w:ascii="Times New Roman" w:hAnsi="Times New Roman" w:cs="Times New Roman"/>
          <w:sz w:val="24"/>
          <w:szCs w:val="24"/>
        </w:rPr>
        <w:t xml:space="preserve"> amongst others</w:t>
      </w:r>
      <w:r w:rsidR="00A744D6" w:rsidRPr="00EA7925">
        <w:rPr>
          <w:rFonts w:ascii="Times New Roman" w:hAnsi="Times New Roman" w:cs="Times New Roman"/>
          <w:sz w:val="24"/>
          <w:szCs w:val="24"/>
        </w:rPr>
        <w:t>, asked</w:t>
      </w:r>
      <w:r w:rsidR="0088100C" w:rsidRPr="00EA7925">
        <w:rPr>
          <w:rFonts w:ascii="Times New Roman" w:hAnsi="Times New Roman" w:cs="Times New Roman"/>
          <w:sz w:val="24"/>
          <w:szCs w:val="24"/>
        </w:rPr>
        <w:t xml:space="preserve"> for</w:t>
      </w:r>
      <w:r w:rsidR="00A744D6" w:rsidRPr="00EA7925">
        <w:rPr>
          <w:rFonts w:ascii="Times New Roman" w:hAnsi="Times New Roman" w:cs="Times New Roman"/>
          <w:sz w:val="24"/>
          <w:szCs w:val="24"/>
        </w:rPr>
        <w:t xml:space="preserve"> the </w:t>
      </w:r>
      <w:r w:rsidR="0088100C" w:rsidRPr="00EA7925">
        <w:rPr>
          <w:rFonts w:ascii="Times New Roman" w:hAnsi="Times New Roman" w:cs="Times New Roman"/>
          <w:sz w:val="24"/>
          <w:szCs w:val="24"/>
        </w:rPr>
        <w:t>Attorney General’s opinion on whether they were obliged to approve the project based on the Court’s decision</w:t>
      </w:r>
      <w:r w:rsidR="0088100C" w:rsidRPr="00EA7925">
        <w:rPr>
          <w:rFonts w:ascii="Times New Roman" w:hAnsi="Times New Roman" w:cs="Times New Roman"/>
          <w:sz w:val="36"/>
          <w:szCs w:val="36"/>
        </w:rPr>
        <w:t>.</w:t>
      </w:r>
      <w:r w:rsidR="0088100C" w:rsidRPr="0043224D">
        <w:rPr>
          <w:rFonts w:ascii="Times New Roman" w:hAnsi="Times New Roman" w:cs="Times New Roman"/>
          <w:sz w:val="24"/>
          <w:szCs w:val="24"/>
        </w:rPr>
        <w:t xml:space="preserve"> The Attorney General </w:t>
      </w:r>
      <w:r w:rsidR="00D517C7" w:rsidRPr="0043224D">
        <w:rPr>
          <w:rFonts w:ascii="Times New Roman" w:hAnsi="Times New Roman" w:cs="Times New Roman"/>
          <w:sz w:val="24"/>
          <w:szCs w:val="24"/>
        </w:rPr>
        <w:t xml:space="preserve">held </w:t>
      </w:r>
      <w:r w:rsidR="0088100C" w:rsidRPr="0043224D">
        <w:rPr>
          <w:rFonts w:ascii="Times New Roman" w:hAnsi="Times New Roman" w:cs="Times New Roman"/>
          <w:sz w:val="24"/>
          <w:szCs w:val="24"/>
        </w:rPr>
        <w:t>they were not. The MoEF</w:t>
      </w:r>
      <w:r w:rsidR="00734B08" w:rsidRPr="0043224D">
        <w:rPr>
          <w:rFonts w:ascii="Times New Roman" w:hAnsi="Times New Roman" w:cs="Times New Roman"/>
          <w:sz w:val="24"/>
          <w:szCs w:val="24"/>
        </w:rPr>
        <w:t xml:space="preserve"> then</w:t>
      </w:r>
      <w:r w:rsidR="0088100C" w:rsidRPr="0043224D">
        <w:rPr>
          <w:rFonts w:ascii="Times New Roman" w:hAnsi="Times New Roman" w:cs="Times New Roman"/>
          <w:sz w:val="24"/>
          <w:szCs w:val="24"/>
        </w:rPr>
        <w:t xml:space="preserve"> issued a report in 2010 </w:t>
      </w:r>
      <w:r w:rsidR="0066778B" w:rsidRPr="0043224D">
        <w:rPr>
          <w:rFonts w:ascii="Times New Roman" w:hAnsi="Times New Roman" w:cs="Times New Roman"/>
          <w:sz w:val="24"/>
          <w:szCs w:val="24"/>
        </w:rPr>
        <w:t>which was critical of the mining project’s impact on the Dongria Kondh’s lifestyles</w:t>
      </w:r>
      <w:r w:rsidR="00734B08" w:rsidRPr="0043224D">
        <w:rPr>
          <w:rFonts w:ascii="Times New Roman" w:hAnsi="Times New Roman" w:cs="Times New Roman"/>
          <w:sz w:val="24"/>
          <w:szCs w:val="24"/>
        </w:rPr>
        <w:t>, highlighting the human cost that further bauxite mining would</w:t>
      </w:r>
      <w:r w:rsidR="007B1164" w:rsidRPr="0043224D">
        <w:rPr>
          <w:rFonts w:ascii="Times New Roman" w:hAnsi="Times New Roman" w:cs="Times New Roman"/>
          <w:sz w:val="24"/>
          <w:szCs w:val="24"/>
        </w:rPr>
        <w:t xml:space="preserve"> inevitably</w:t>
      </w:r>
      <w:r w:rsidR="00734B08" w:rsidRPr="0043224D">
        <w:rPr>
          <w:rFonts w:ascii="Times New Roman" w:hAnsi="Times New Roman" w:cs="Times New Roman"/>
          <w:sz w:val="24"/>
          <w:szCs w:val="24"/>
        </w:rPr>
        <w:t xml:space="preserve"> have.</w:t>
      </w:r>
      <w:r w:rsidR="00734B08" w:rsidRPr="0043224D">
        <w:rPr>
          <w:rStyle w:val="FootnoteReference"/>
          <w:rFonts w:ascii="Times New Roman" w:hAnsi="Times New Roman" w:cs="Times New Roman"/>
          <w:sz w:val="24"/>
          <w:szCs w:val="24"/>
        </w:rPr>
        <w:footnoteReference w:id="88"/>
      </w:r>
      <w:r w:rsidR="0066778B" w:rsidRPr="0043224D">
        <w:rPr>
          <w:rFonts w:ascii="Times New Roman" w:hAnsi="Times New Roman" w:cs="Times New Roman"/>
          <w:sz w:val="24"/>
          <w:szCs w:val="24"/>
        </w:rPr>
        <w:t xml:space="preserve"> </w:t>
      </w:r>
      <w:r w:rsidR="00734B08" w:rsidRPr="0043224D">
        <w:rPr>
          <w:rFonts w:ascii="Times New Roman" w:hAnsi="Times New Roman" w:cs="Times New Roman"/>
          <w:sz w:val="24"/>
          <w:szCs w:val="24"/>
        </w:rPr>
        <w:t xml:space="preserve"> As a result, </w:t>
      </w:r>
      <w:r w:rsidR="0066778B" w:rsidRPr="0043224D">
        <w:rPr>
          <w:rFonts w:ascii="Times New Roman" w:hAnsi="Times New Roman" w:cs="Times New Roman"/>
          <w:sz w:val="24"/>
          <w:szCs w:val="24"/>
        </w:rPr>
        <w:t xml:space="preserve">the government </w:t>
      </w:r>
      <w:r w:rsidR="00734B08" w:rsidRPr="0043224D">
        <w:rPr>
          <w:rFonts w:ascii="Times New Roman" w:hAnsi="Times New Roman" w:cs="Times New Roman"/>
          <w:sz w:val="24"/>
          <w:szCs w:val="24"/>
        </w:rPr>
        <w:t xml:space="preserve">accordingly </w:t>
      </w:r>
      <w:r w:rsidR="0066778B" w:rsidRPr="0043224D">
        <w:rPr>
          <w:rFonts w:ascii="Times New Roman" w:hAnsi="Times New Roman" w:cs="Times New Roman"/>
          <w:sz w:val="24"/>
          <w:szCs w:val="24"/>
        </w:rPr>
        <w:t xml:space="preserve">declared that it would take action against Vedanta for alleged environmental violations. Finally, the Supreme Court banned the mine in 2013, and, as part of the reasoning behind the ruling, argued that the rights of tribal peoples to their lands and the cultural attachment to that land must be a consideration in any mining concession given to </w:t>
      </w:r>
      <w:r w:rsidR="00C2711E" w:rsidRPr="0043224D">
        <w:rPr>
          <w:rFonts w:ascii="Times New Roman" w:hAnsi="Times New Roman" w:cs="Times New Roman"/>
          <w:sz w:val="24"/>
          <w:szCs w:val="24"/>
        </w:rPr>
        <w:t>extractive companies.</w:t>
      </w:r>
      <w:r w:rsidR="00C2711E" w:rsidRPr="0043224D">
        <w:rPr>
          <w:rStyle w:val="FootnoteReference"/>
          <w:rFonts w:ascii="Times New Roman" w:hAnsi="Times New Roman" w:cs="Times New Roman"/>
          <w:sz w:val="24"/>
          <w:szCs w:val="24"/>
        </w:rPr>
        <w:footnoteReference w:id="89"/>
      </w:r>
      <w:r w:rsidR="00C2711E" w:rsidRPr="0043224D">
        <w:rPr>
          <w:rFonts w:ascii="Times New Roman" w:hAnsi="Times New Roman" w:cs="Times New Roman"/>
          <w:sz w:val="24"/>
          <w:szCs w:val="24"/>
        </w:rPr>
        <w:t xml:space="preserve"> </w:t>
      </w:r>
      <w:r w:rsidR="004E3D92" w:rsidRPr="0043224D">
        <w:rPr>
          <w:rFonts w:ascii="Times New Roman" w:hAnsi="Times New Roman" w:cs="Times New Roman"/>
          <w:sz w:val="24"/>
          <w:szCs w:val="24"/>
        </w:rPr>
        <w:t xml:space="preserve">The relative success of the Dongria Kondh case however is something of an anomaly. In India and elsewhere, it is rare for such cases to get to the level of the Supreme Court, and rarer still for such a relatively positive outcome.  </w:t>
      </w:r>
    </w:p>
    <w:p w:rsidR="005C321D" w:rsidRPr="0052620D" w:rsidRDefault="009D6EE2" w:rsidP="0043224D">
      <w:pPr>
        <w:pStyle w:val="Heading2"/>
        <w:spacing w:line="360" w:lineRule="auto"/>
      </w:pPr>
      <w:bookmarkStart w:id="22" w:name="_Toc399848355"/>
      <w:r>
        <w:t>3.4</w:t>
      </w:r>
      <w:r w:rsidR="000E223E" w:rsidRPr="0052620D">
        <w:t xml:space="preserve"> Resource Development</w:t>
      </w:r>
      <w:r w:rsidR="00760003" w:rsidRPr="0052620D">
        <w:t xml:space="preserve"> as </w:t>
      </w:r>
      <w:r w:rsidR="000E223E" w:rsidRPr="0052620D">
        <w:t xml:space="preserve">“Development </w:t>
      </w:r>
      <w:r w:rsidR="00760003" w:rsidRPr="0052620D">
        <w:t>Aggression</w:t>
      </w:r>
      <w:r>
        <w:t>”</w:t>
      </w:r>
      <w:bookmarkEnd w:id="22"/>
    </w:p>
    <w:p w:rsidR="007A1529" w:rsidRPr="0043224D" w:rsidRDefault="000E223E" w:rsidP="00060EEC">
      <w:pPr>
        <w:spacing w:line="360" w:lineRule="auto"/>
        <w:ind w:firstLine="720"/>
        <w:rPr>
          <w:rFonts w:ascii="Times New Roman" w:eastAsia="Palatino-Roman" w:hAnsi="Times New Roman" w:cs="Times New Roman"/>
          <w:sz w:val="24"/>
          <w:szCs w:val="24"/>
        </w:rPr>
      </w:pPr>
      <w:r w:rsidRPr="0043224D">
        <w:rPr>
          <w:rFonts w:ascii="Times New Roman" w:hAnsi="Times New Roman" w:cs="Times New Roman"/>
          <w:sz w:val="24"/>
          <w:szCs w:val="24"/>
        </w:rPr>
        <w:t>The</w:t>
      </w:r>
      <w:r w:rsidR="00333CEC" w:rsidRPr="0043224D">
        <w:rPr>
          <w:rFonts w:ascii="Times New Roman" w:hAnsi="Times New Roman" w:cs="Times New Roman"/>
          <w:sz w:val="24"/>
          <w:szCs w:val="24"/>
        </w:rPr>
        <w:t xml:space="preserve"> concept of </w:t>
      </w:r>
      <w:r w:rsidRPr="0043224D">
        <w:rPr>
          <w:rFonts w:ascii="Times New Roman" w:hAnsi="Times New Roman" w:cs="Times New Roman"/>
          <w:sz w:val="24"/>
          <w:szCs w:val="24"/>
        </w:rPr>
        <w:t>development</w:t>
      </w:r>
      <w:r w:rsidR="00333CEC" w:rsidRPr="0043224D">
        <w:rPr>
          <w:rFonts w:ascii="Times New Roman" w:hAnsi="Times New Roman" w:cs="Times New Roman"/>
          <w:sz w:val="24"/>
          <w:szCs w:val="24"/>
        </w:rPr>
        <w:t xml:space="preserve"> as</w:t>
      </w:r>
      <w:r w:rsidRPr="0043224D">
        <w:rPr>
          <w:rFonts w:ascii="Times New Roman" w:hAnsi="Times New Roman" w:cs="Times New Roman"/>
          <w:sz w:val="24"/>
          <w:szCs w:val="24"/>
        </w:rPr>
        <w:t xml:space="preserve"> aggressio</w:t>
      </w:r>
      <w:r w:rsidR="00333CEC" w:rsidRPr="0043224D">
        <w:rPr>
          <w:rFonts w:ascii="Times New Roman" w:hAnsi="Times New Roman" w:cs="Times New Roman"/>
          <w:sz w:val="24"/>
          <w:szCs w:val="24"/>
        </w:rPr>
        <w:t>n</w:t>
      </w:r>
      <w:r w:rsidRPr="0043224D">
        <w:rPr>
          <w:rFonts w:ascii="Times New Roman" w:hAnsi="Times New Roman" w:cs="Times New Roman"/>
          <w:sz w:val="24"/>
          <w:szCs w:val="24"/>
        </w:rPr>
        <w:t xml:space="preserve"> as</w:t>
      </w:r>
      <w:r w:rsidR="00333CEC" w:rsidRPr="0043224D">
        <w:rPr>
          <w:rFonts w:ascii="Times New Roman" w:hAnsi="Times New Roman" w:cs="Times New Roman"/>
          <w:sz w:val="24"/>
          <w:szCs w:val="24"/>
        </w:rPr>
        <w:t xml:space="preserve"> noted in the previous section is one that is derived from indigenous peoples civil society organisations as a response to the negative effects and outcomes of development projects on their traditional lands. </w:t>
      </w:r>
      <w:r w:rsidR="003C76DF" w:rsidRPr="0043224D">
        <w:rPr>
          <w:rFonts w:ascii="Times New Roman" w:hAnsi="Times New Roman" w:cs="Times New Roman"/>
          <w:sz w:val="24"/>
          <w:szCs w:val="24"/>
        </w:rPr>
        <w:t>Although there are competing if mostly similar definitions, t</w:t>
      </w:r>
      <w:r w:rsidR="00C31AD9" w:rsidRPr="0043224D">
        <w:rPr>
          <w:rFonts w:ascii="Times New Roman" w:hAnsi="Times New Roman" w:cs="Times New Roman"/>
          <w:sz w:val="24"/>
          <w:szCs w:val="24"/>
        </w:rPr>
        <w:t xml:space="preserve">he IWGIA </w:t>
      </w:r>
      <w:r w:rsidR="003C76DF" w:rsidRPr="0043224D">
        <w:rPr>
          <w:rFonts w:ascii="Times New Roman" w:hAnsi="Times New Roman" w:cs="Times New Roman"/>
          <w:sz w:val="24"/>
          <w:szCs w:val="24"/>
        </w:rPr>
        <w:t>define it as, “</w:t>
      </w:r>
      <w:r w:rsidR="00C31AD9" w:rsidRPr="0043224D">
        <w:rPr>
          <w:rFonts w:ascii="Times New Roman" w:eastAsia="Palatino-Roman" w:hAnsi="Times New Roman" w:cs="Times New Roman"/>
          <w:sz w:val="24"/>
          <w:szCs w:val="24"/>
        </w:rPr>
        <w:t>the imposition of large-scale development schemes supposedly in the interests of national development, which lead to large-scale dispossession and human rights violations</w:t>
      </w:r>
      <w:r w:rsidR="003C76DF" w:rsidRPr="0043224D">
        <w:rPr>
          <w:rFonts w:ascii="Times New Roman" w:eastAsia="Palatino-Roman" w:hAnsi="Times New Roman" w:cs="Times New Roman"/>
          <w:sz w:val="24"/>
          <w:szCs w:val="24"/>
        </w:rPr>
        <w:t>.”</w:t>
      </w:r>
      <w:r w:rsidR="00C31AD9" w:rsidRPr="0043224D">
        <w:rPr>
          <w:rStyle w:val="FootnoteReference"/>
          <w:rFonts w:ascii="Times New Roman" w:eastAsia="Palatino-Roman" w:hAnsi="Times New Roman" w:cs="Times New Roman"/>
          <w:sz w:val="24"/>
          <w:szCs w:val="24"/>
          <w:vertAlign w:val="subscript"/>
        </w:rPr>
        <w:footnoteReference w:id="90"/>
      </w:r>
      <w:r w:rsidR="003C76DF" w:rsidRPr="0043224D">
        <w:rPr>
          <w:rFonts w:ascii="Times New Roman" w:eastAsia="Palatino-Roman" w:hAnsi="Times New Roman" w:cs="Times New Roman"/>
          <w:sz w:val="24"/>
          <w:szCs w:val="24"/>
        </w:rPr>
        <w:t xml:space="preserve">  The definition</w:t>
      </w:r>
      <w:r w:rsidR="006A0A7C" w:rsidRPr="0043224D">
        <w:rPr>
          <w:rFonts w:ascii="Times New Roman" w:eastAsia="Palatino-Roman" w:hAnsi="Times New Roman" w:cs="Times New Roman"/>
          <w:sz w:val="24"/>
          <w:szCs w:val="24"/>
        </w:rPr>
        <w:t>,</w:t>
      </w:r>
      <w:r w:rsidR="003C76DF" w:rsidRPr="0043224D">
        <w:rPr>
          <w:rFonts w:ascii="Times New Roman" w:eastAsia="Palatino-Roman" w:hAnsi="Times New Roman" w:cs="Times New Roman"/>
          <w:sz w:val="24"/>
          <w:szCs w:val="24"/>
        </w:rPr>
        <w:t xml:space="preserve"> although accurate from an indigenous people’s point of view</w:t>
      </w:r>
      <w:r w:rsidR="006A0A7C" w:rsidRPr="0043224D">
        <w:rPr>
          <w:rFonts w:ascii="Times New Roman" w:eastAsia="Palatino-Roman" w:hAnsi="Times New Roman" w:cs="Times New Roman"/>
          <w:sz w:val="24"/>
          <w:szCs w:val="24"/>
        </w:rPr>
        <w:t>,</w:t>
      </w:r>
      <w:r w:rsidR="003C76DF" w:rsidRPr="0043224D">
        <w:rPr>
          <w:rFonts w:ascii="Times New Roman" w:eastAsia="Palatino-Roman" w:hAnsi="Times New Roman" w:cs="Times New Roman"/>
          <w:sz w:val="24"/>
          <w:szCs w:val="24"/>
        </w:rPr>
        <w:t xml:space="preserve"> is </w:t>
      </w:r>
      <w:r w:rsidR="00875201" w:rsidRPr="0043224D">
        <w:rPr>
          <w:rFonts w:ascii="Times New Roman" w:eastAsia="Palatino-Roman" w:hAnsi="Times New Roman" w:cs="Times New Roman"/>
          <w:sz w:val="24"/>
          <w:szCs w:val="24"/>
        </w:rPr>
        <w:t xml:space="preserve">however </w:t>
      </w:r>
      <w:r w:rsidR="003C76DF" w:rsidRPr="0043224D">
        <w:rPr>
          <w:rFonts w:ascii="Times New Roman" w:eastAsia="Palatino-Roman" w:hAnsi="Times New Roman" w:cs="Times New Roman"/>
          <w:sz w:val="24"/>
          <w:szCs w:val="24"/>
        </w:rPr>
        <w:t xml:space="preserve">not unproblematic. </w:t>
      </w:r>
      <w:r w:rsidR="006A0A7C" w:rsidRPr="0043224D">
        <w:rPr>
          <w:rFonts w:ascii="Times New Roman" w:eastAsia="Palatino-Roman" w:hAnsi="Times New Roman" w:cs="Times New Roman"/>
          <w:sz w:val="24"/>
          <w:szCs w:val="24"/>
        </w:rPr>
        <w:t>As noted earlier, national development can and does lead to the progressive realisation of human rights for many citizens of developing countries. That is, of course, if human rights progression is the intention and policy of the state</w:t>
      </w:r>
      <w:r w:rsidR="008D5D72" w:rsidRPr="0043224D">
        <w:rPr>
          <w:rFonts w:ascii="Times New Roman" w:eastAsia="Palatino-Roman" w:hAnsi="Times New Roman" w:cs="Times New Roman"/>
          <w:sz w:val="24"/>
          <w:szCs w:val="24"/>
        </w:rPr>
        <w:t xml:space="preserve"> for all its citizens</w:t>
      </w:r>
      <w:r w:rsidR="00875201" w:rsidRPr="0043224D">
        <w:rPr>
          <w:rFonts w:ascii="Times New Roman" w:eastAsia="Palatino-Roman" w:hAnsi="Times New Roman" w:cs="Times New Roman"/>
          <w:sz w:val="24"/>
          <w:szCs w:val="24"/>
        </w:rPr>
        <w:t>, the rhetoric of government</w:t>
      </w:r>
      <w:r w:rsidR="008D5D72" w:rsidRPr="0043224D">
        <w:rPr>
          <w:rFonts w:ascii="Times New Roman" w:eastAsia="Palatino-Roman" w:hAnsi="Times New Roman" w:cs="Times New Roman"/>
          <w:sz w:val="24"/>
          <w:szCs w:val="24"/>
        </w:rPr>
        <w:t>s</w:t>
      </w:r>
      <w:r w:rsidR="00875201" w:rsidRPr="0043224D">
        <w:rPr>
          <w:rFonts w:ascii="Times New Roman" w:eastAsia="Palatino-Roman" w:hAnsi="Times New Roman" w:cs="Times New Roman"/>
          <w:sz w:val="24"/>
          <w:szCs w:val="24"/>
        </w:rPr>
        <w:t xml:space="preserve"> notwithstanding.</w:t>
      </w:r>
      <w:r w:rsidR="00875201" w:rsidRPr="0043224D">
        <w:rPr>
          <w:rFonts w:ascii="Times New Roman" w:eastAsia="Palatino-Roman" w:hAnsi="Times New Roman" w:cs="Times New Roman"/>
          <w:i/>
          <w:sz w:val="24"/>
          <w:szCs w:val="24"/>
        </w:rPr>
        <w:t xml:space="preserve"> </w:t>
      </w:r>
      <w:r w:rsidR="006A0A7C" w:rsidRPr="0043224D">
        <w:rPr>
          <w:rFonts w:ascii="Times New Roman" w:eastAsia="Palatino-Roman" w:hAnsi="Times New Roman" w:cs="Times New Roman"/>
          <w:sz w:val="24"/>
          <w:szCs w:val="24"/>
        </w:rPr>
        <w:t>Nevertheless</w:t>
      </w:r>
      <w:r w:rsidR="00B52FF1" w:rsidRPr="0043224D">
        <w:rPr>
          <w:rFonts w:ascii="Times New Roman" w:eastAsia="Palatino-Roman" w:hAnsi="Times New Roman" w:cs="Times New Roman"/>
          <w:sz w:val="24"/>
          <w:szCs w:val="24"/>
        </w:rPr>
        <w:t xml:space="preserve"> despite this shortcoming</w:t>
      </w:r>
      <w:r w:rsidR="004E3D92" w:rsidRPr="0043224D">
        <w:rPr>
          <w:rFonts w:ascii="Times New Roman" w:eastAsia="Palatino-Roman" w:hAnsi="Times New Roman" w:cs="Times New Roman"/>
          <w:sz w:val="24"/>
          <w:szCs w:val="24"/>
        </w:rPr>
        <w:t>,</w:t>
      </w:r>
      <w:r w:rsidR="006A0A7C" w:rsidRPr="0043224D">
        <w:rPr>
          <w:rFonts w:ascii="Times New Roman" w:eastAsia="Palatino-Roman" w:hAnsi="Times New Roman" w:cs="Times New Roman"/>
          <w:sz w:val="24"/>
          <w:szCs w:val="24"/>
        </w:rPr>
        <w:t xml:space="preserve"> the </w:t>
      </w:r>
      <w:r w:rsidR="00B52FF1" w:rsidRPr="0043224D">
        <w:rPr>
          <w:rFonts w:ascii="Times New Roman" w:eastAsia="Palatino-Roman" w:hAnsi="Times New Roman" w:cs="Times New Roman"/>
          <w:sz w:val="24"/>
          <w:szCs w:val="24"/>
        </w:rPr>
        <w:t xml:space="preserve">IWGIA </w:t>
      </w:r>
      <w:r w:rsidR="006A0A7C" w:rsidRPr="0043224D">
        <w:rPr>
          <w:rFonts w:ascii="Times New Roman" w:eastAsia="Palatino-Roman" w:hAnsi="Times New Roman" w:cs="Times New Roman"/>
          <w:sz w:val="24"/>
          <w:szCs w:val="24"/>
        </w:rPr>
        <w:t>definition</w:t>
      </w:r>
      <w:r w:rsidR="00B52FF1" w:rsidRPr="0043224D">
        <w:rPr>
          <w:rFonts w:ascii="Times New Roman" w:eastAsia="Palatino-Roman" w:hAnsi="Times New Roman" w:cs="Times New Roman"/>
          <w:sz w:val="24"/>
          <w:szCs w:val="24"/>
        </w:rPr>
        <w:t xml:space="preserve"> </w:t>
      </w:r>
      <w:r w:rsidR="006A0A7C" w:rsidRPr="0043224D">
        <w:rPr>
          <w:rFonts w:ascii="Times New Roman" w:eastAsia="Palatino-Roman" w:hAnsi="Times New Roman" w:cs="Times New Roman"/>
          <w:sz w:val="24"/>
          <w:szCs w:val="24"/>
        </w:rPr>
        <w:t>accurately depict</w:t>
      </w:r>
      <w:r w:rsidR="00B52FF1" w:rsidRPr="0043224D">
        <w:rPr>
          <w:rFonts w:ascii="Times New Roman" w:eastAsia="Palatino-Roman" w:hAnsi="Times New Roman" w:cs="Times New Roman"/>
          <w:sz w:val="24"/>
          <w:szCs w:val="24"/>
        </w:rPr>
        <w:t>s</w:t>
      </w:r>
      <w:r w:rsidR="006A0A7C" w:rsidRPr="0043224D">
        <w:rPr>
          <w:rFonts w:ascii="Times New Roman" w:eastAsia="Palatino-Roman" w:hAnsi="Times New Roman" w:cs="Times New Roman"/>
          <w:sz w:val="24"/>
          <w:szCs w:val="24"/>
        </w:rPr>
        <w:t xml:space="preserve"> both the perception and the lived </w:t>
      </w:r>
      <w:r w:rsidR="007307FE" w:rsidRPr="0043224D">
        <w:rPr>
          <w:rFonts w:ascii="Times New Roman" w:eastAsia="Palatino-Roman" w:hAnsi="Times New Roman" w:cs="Times New Roman"/>
          <w:sz w:val="24"/>
          <w:szCs w:val="24"/>
        </w:rPr>
        <w:t>reality of</w:t>
      </w:r>
      <w:r w:rsidR="006A0A7C" w:rsidRPr="0043224D">
        <w:rPr>
          <w:rFonts w:ascii="Times New Roman" w:eastAsia="Palatino-Roman" w:hAnsi="Times New Roman" w:cs="Times New Roman"/>
          <w:sz w:val="24"/>
          <w:szCs w:val="24"/>
        </w:rPr>
        <w:t xml:space="preserve"> indigenous peoples in their experience of large-scale development projects</w:t>
      </w:r>
      <w:r w:rsidR="007307FE" w:rsidRPr="0043224D">
        <w:rPr>
          <w:rFonts w:ascii="Times New Roman" w:eastAsia="Palatino-Roman" w:hAnsi="Times New Roman" w:cs="Times New Roman"/>
          <w:sz w:val="24"/>
          <w:szCs w:val="24"/>
        </w:rPr>
        <w:t>, and the often violent dispossession</w:t>
      </w:r>
      <w:r w:rsidR="00B52FF1" w:rsidRPr="0043224D">
        <w:rPr>
          <w:rFonts w:ascii="Times New Roman" w:eastAsia="Palatino-Roman" w:hAnsi="Times New Roman" w:cs="Times New Roman"/>
          <w:sz w:val="24"/>
          <w:szCs w:val="24"/>
        </w:rPr>
        <w:t>s</w:t>
      </w:r>
      <w:r w:rsidR="007307FE" w:rsidRPr="0043224D">
        <w:rPr>
          <w:rFonts w:ascii="Times New Roman" w:eastAsia="Palatino-Roman" w:hAnsi="Times New Roman" w:cs="Times New Roman"/>
          <w:sz w:val="24"/>
          <w:szCs w:val="24"/>
        </w:rPr>
        <w:t xml:space="preserve"> and displacement</w:t>
      </w:r>
      <w:r w:rsidR="00B52FF1" w:rsidRPr="0043224D">
        <w:rPr>
          <w:rFonts w:ascii="Times New Roman" w:eastAsia="Palatino-Roman" w:hAnsi="Times New Roman" w:cs="Times New Roman"/>
          <w:sz w:val="24"/>
          <w:szCs w:val="24"/>
        </w:rPr>
        <w:t>s</w:t>
      </w:r>
      <w:r w:rsidR="00F408A3" w:rsidRPr="0043224D">
        <w:rPr>
          <w:rFonts w:ascii="Times New Roman" w:eastAsia="Palatino-Roman" w:hAnsi="Times New Roman" w:cs="Times New Roman"/>
          <w:sz w:val="24"/>
          <w:szCs w:val="24"/>
        </w:rPr>
        <w:t xml:space="preserve"> </w:t>
      </w:r>
      <w:r w:rsidR="00763FAF">
        <w:rPr>
          <w:rFonts w:ascii="Times New Roman" w:eastAsia="Palatino-Roman" w:hAnsi="Times New Roman" w:cs="Times New Roman"/>
          <w:sz w:val="24"/>
          <w:szCs w:val="24"/>
        </w:rPr>
        <w:t>that</w:t>
      </w:r>
      <w:r w:rsidR="00F408A3" w:rsidRPr="0043224D">
        <w:rPr>
          <w:rFonts w:ascii="Times New Roman" w:eastAsia="Palatino-Roman" w:hAnsi="Times New Roman" w:cs="Times New Roman"/>
          <w:sz w:val="24"/>
          <w:szCs w:val="24"/>
        </w:rPr>
        <w:t xml:space="preserve"> are</w:t>
      </w:r>
      <w:r w:rsidR="007307FE" w:rsidRPr="0043224D">
        <w:rPr>
          <w:rFonts w:ascii="Times New Roman" w:eastAsia="Palatino-Roman" w:hAnsi="Times New Roman" w:cs="Times New Roman"/>
          <w:sz w:val="24"/>
          <w:szCs w:val="24"/>
        </w:rPr>
        <w:t xml:space="preserve"> a consequence of </w:t>
      </w:r>
      <w:r w:rsidR="00F408A3" w:rsidRPr="0043224D">
        <w:rPr>
          <w:rFonts w:ascii="Times New Roman" w:eastAsia="Palatino-Roman" w:hAnsi="Times New Roman" w:cs="Times New Roman"/>
          <w:sz w:val="24"/>
          <w:szCs w:val="24"/>
        </w:rPr>
        <w:t>such</w:t>
      </w:r>
      <w:r w:rsidR="007307FE" w:rsidRPr="0043224D">
        <w:rPr>
          <w:rFonts w:ascii="Times New Roman" w:eastAsia="Palatino-Roman" w:hAnsi="Times New Roman" w:cs="Times New Roman"/>
          <w:sz w:val="24"/>
          <w:szCs w:val="24"/>
        </w:rPr>
        <w:t xml:space="preserve"> projects</w:t>
      </w:r>
      <w:r w:rsidR="006A0A7C" w:rsidRPr="0043224D">
        <w:rPr>
          <w:rFonts w:ascii="Times New Roman" w:eastAsia="Palatino-Roman" w:hAnsi="Times New Roman" w:cs="Times New Roman"/>
          <w:sz w:val="24"/>
          <w:szCs w:val="24"/>
        </w:rPr>
        <w:t>.</w:t>
      </w:r>
      <w:r w:rsidR="002754B1" w:rsidRPr="0043224D">
        <w:rPr>
          <w:rStyle w:val="FootnoteReference"/>
          <w:rFonts w:ascii="Times New Roman" w:eastAsia="Palatino-Roman" w:hAnsi="Times New Roman" w:cs="Times New Roman"/>
          <w:sz w:val="24"/>
          <w:szCs w:val="24"/>
        </w:rPr>
        <w:footnoteReference w:id="91"/>
      </w:r>
      <w:r w:rsidR="00F408A3" w:rsidRPr="0043224D">
        <w:rPr>
          <w:rFonts w:ascii="Times New Roman" w:eastAsia="Palatino-Roman" w:hAnsi="Times New Roman" w:cs="Times New Roman"/>
          <w:sz w:val="24"/>
          <w:szCs w:val="24"/>
        </w:rPr>
        <w:t xml:space="preserve"> </w:t>
      </w:r>
      <w:r w:rsidR="00EA7925">
        <w:rPr>
          <w:rFonts w:ascii="Times New Roman" w:eastAsia="Palatino-Roman" w:hAnsi="Times New Roman" w:cs="Times New Roman"/>
          <w:sz w:val="24"/>
          <w:szCs w:val="24"/>
        </w:rPr>
        <w:t xml:space="preserve"> A</w:t>
      </w:r>
      <w:r w:rsidR="00EA7925" w:rsidRPr="0043224D">
        <w:rPr>
          <w:rFonts w:ascii="Times New Roman" w:eastAsia="Palatino-Roman" w:hAnsi="Times New Roman" w:cs="Times New Roman"/>
          <w:sz w:val="24"/>
          <w:szCs w:val="24"/>
        </w:rPr>
        <w:t xml:space="preserve"> case in point</w:t>
      </w:r>
      <w:r w:rsidR="00763FAF">
        <w:rPr>
          <w:rFonts w:ascii="Times New Roman" w:eastAsia="Palatino-Roman" w:hAnsi="Times New Roman" w:cs="Times New Roman"/>
          <w:sz w:val="24"/>
          <w:szCs w:val="24"/>
        </w:rPr>
        <w:t xml:space="preserve"> involves</w:t>
      </w:r>
      <w:r w:rsidR="00EA7925" w:rsidRPr="0043224D">
        <w:rPr>
          <w:rFonts w:ascii="Times New Roman" w:eastAsia="Palatino-Roman" w:hAnsi="Times New Roman" w:cs="Times New Roman"/>
          <w:sz w:val="24"/>
          <w:szCs w:val="24"/>
        </w:rPr>
        <w:t xml:space="preserve"> the</w:t>
      </w:r>
      <w:r w:rsidR="00F408A3" w:rsidRPr="0043224D">
        <w:rPr>
          <w:rFonts w:ascii="Times New Roman" w:eastAsia="Palatino-Roman" w:hAnsi="Times New Roman" w:cs="Times New Roman"/>
          <w:sz w:val="24"/>
          <w:szCs w:val="24"/>
        </w:rPr>
        <w:t xml:space="preserve"> forceful eviction of the Mapuche people off their traditional homelands in Chile and Argentina in 2009 to clear the way for oil and mining exploration</w:t>
      </w:r>
      <w:r w:rsidR="009D2AF4" w:rsidRPr="0043224D">
        <w:rPr>
          <w:rFonts w:ascii="Times New Roman" w:eastAsia="Palatino-Roman" w:hAnsi="Times New Roman" w:cs="Times New Roman"/>
          <w:sz w:val="24"/>
          <w:szCs w:val="24"/>
        </w:rPr>
        <w:t xml:space="preserve"> </w:t>
      </w:r>
      <w:r w:rsidR="00875201" w:rsidRPr="0043224D">
        <w:rPr>
          <w:rFonts w:ascii="Times New Roman" w:eastAsia="Palatino-Roman" w:hAnsi="Times New Roman" w:cs="Times New Roman"/>
          <w:sz w:val="24"/>
          <w:szCs w:val="24"/>
        </w:rPr>
        <w:t>clearly.</w:t>
      </w:r>
      <w:r w:rsidR="00B52FF1" w:rsidRPr="0043224D">
        <w:rPr>
          <w:rFonts w:ascii="Times New Roman" w:eastAsia="Palatino-Roman" w:hAnsi="Times New Roman" w:cs="Times New Roman"/>
          <w:sz w:val="24"/>
          <w:szCs w:val="24"/>
        </w:rPr>
        <w:t xml:space="preserve"> </w:t>
      </w:r>
      <w:r w:rsidR="00875201" w:rsidRPr="0043224D">
        <w:rPr>
          <w:rFonts w:ascii="Times New Roman" w:eastAsia="Palatino-Roman" w:hAnsi="Times New Roman" w:cs="Times New Roman"/>
          <w:sz w:val="24"/>
          <w:szCs w:val="24"/>
        </w:rPr>
        <w:t>Regrettably in this example</w:t>
      </w:r>
      <w:r w:rsidR="007A1529" w:rsidRPr="0043224D">
        <w:rPr>
          <w:rFonts w:ascii="Times New Roman" w:eastAsia="Palatino-Roman" w:hAnsi="Times New Roman" w:cs="Times New Roman"/>
          <w:sz w:val="24"/>
          <w:szCs w:val="24"/>
        </w:rPr>
        <w:t>, as is often the situation</w:t>
      </w:r>
      <w:r w:rsidR="002F5376" w:rsidRPr="0043224D">
        <w:rPr>
          <w:rFonts w:ascii="Times New Roman" w:eastAsia="Palatino-Roman" w:hAnsi="Times New Roman" w:cs="Times New Roman"/>
          <w:sz w:val="24"/>
          <w:szCs w:val="24"/>
        </w:rPr>
        <w:t xml:space="preserve"> with the eviction</w:t>
      </w:r>
      <w:r w:rsidR="00763FAF">
        <w:rPr>
          <w:rFonts w:ascii="Times New Roman" w:eastAsia="Palatino-Roman" w:hAnsi="Times New Roman" w:cs="Times New Roman"/>
          <w:sz w:val="24"/>
          <w:szCs w:val="24"/>
        </w:rPr>
        <w:t xml:space="preserve"> and forcible displacement</w:t>
      </w:r>
      <w:r w:rsidR="002F5376" w:rsidRPr="0043224D">
        <w:rPr>
          <w:rFonts w:ascii="Times New Roman" w:eastAsia="Palatino-Roman" w:hAnsi="Times New Roman" w:cs="Times New Roman"/>
          <w:sz w:val="24"/>
          <w:szCs w:val="24"/>
        </w:rPr>
        <w:t xml:space="preserve"> of indigenous peoples</w:t>
      </w:r>
      <w:r w:rsidR="007A1529" w:rsidRPr="0043224D">
        <w:rPr>
          <w:rFonts w:ascii="Times New Roman" w:eastAsia="Palatino-Roman" w:hAnsi="Times New Roman" w:cs="Times New Roman"/>
          <w:sz w:val="24"/>
          <w:szCs w:val="24"/>
        </w:rPr>
        <w:t>,</w:t>
      </w:r>
      <w:r w:rsidR="009D2AF4" w:rsidRPr="0043224D">
        <w:rPr>
          <w:rFonts w:ascii="Times New Roman" w:eastAsia="Palatino-Roman" w:hAnsi="Times New Roman" w:cs="Times New Roman"/>
          <w:sz w:val="24"/>
          <w:szCs w:val="24"/>
        </w:rPr>
        <w:t xml:space="preserve"> </w:t>
      </w:r>
      <w:r w:rsidR="002754B1" w:rsidRPr="0043224D">
        <w:rPr>
          <w:rFonts w:ascii="Times New Roman" w:eastAsia="Palatino-Roman" w:hAnsi="Times New Roman" w:cs="Times New Roman"/>
          <w:sz w:val="24"/>
          <w:szCs w:val="24"/>
        </w:rPr>
        <w:t>no</w:t>
      </w:r>
      <w:r w:rsidR="009D2AF4" w:rsidRPr="0043224D">
        <w:rPr>
          <w:rFonts w:ascii="Times New Roman" w:eastAsia="Palatino-Roman" w:hAnsi="Times New Roman" w:cs="Times New Roman"/>
          <w:sz w:val="24"/>
          <w:szCs w:val="24"/>
        </w:rPr>
        <w:t xml:space="preserve"> prior consultation or participation</w:t>
      </w:r>
      <w:r w:rsidR="002754B1" w:rsidRPr="0043224D">
        <w:rPr>
          <w:rFonts w:ascii="Times New Roman" w:eastAsia="Palatino-Roman" w:hAnsi="Times New Roman" w:cs="Times New Roman"/>
          <w:sz w:val="24"/>
          <w:szCs w:val="24"/>
        </w:rPr>
        <w:t xml:space="preserve"> with the Mapuche people</w:t>
      </w:r>
      <w:r w:rsidR="002F5376" w:rsidRPr="0043224D">
        <w:rPr>
          <w:rFonts w:ascii="Times New Roman" w:eastAsia="Palatino-Roman" w:hAnsi="Times New Roman" w:cs="Times New Roman"/>
          <w:sz w:val="24"/>
          <w:szCs w:val="24"/>
        </w:rPr>
        <w:t xml:space="preserve"> in the </w:t>
      </w:r>
      <w:r w:rsidR="002754B1" w:rsidRPr="0043224D">
        <w:rPr>
          <w:rFonts w:ascii="Times New Roman" w:eastAsia="Palatino-Roman" w:hAnsi="Times New Roman" w:cs="Times New Roman"/>
          <w:sz w:val="24"/>
          <w:szCs w:val="24"/>
        </w:rPr>
        <w:t>development projects took place</w:t>
      </w:r>
      <w:r w:rsidR="00F408A3" w:rsidRPr="0043224D">
        <w:rPr>
          <w:rFonts w:ascii="Times New Roman" w:eastAsia="Palatino-Roman" w:hAnsi="Times New Roman" w:cs="Times New Roman"/>
          <w:sz w:val="24"/>
          <w:szCs w:val="24"/>
        </w:rPr>
        <w:t>.</w:t>
      </w:r>
      <w:r w:rsidR="00F408A3" w:rsidRPr="0043224D">
        <w:rPr>
          <w:rStyle w:val="FootnoteReference"/>
          <w:rFonts w:ascii="Times New Roman" w:eastAsia="Palatino-Roman" w:hAnsi="Times New Roman" w:cs="Times New Roman"/>
          <w:sz w:val="24"/>
          <w:szCs w:val="24"/>
        </w:rPr>
        <w:footnoteReference w:id="92"/>
      </w:r>
      <w:r w:rsidR="007A1529" w:rsidRPr="0043224D">
        <w:rPr>
          <w:rFonts w:ascii="Times New Roman" w:eastAsia="Palatino-Roman" w:hAnsi="Times New Roman" w:cs="Times New Roman"/>
          <w:sz w:val="24"/>
          <w:szCs w:val="24"/>
        </w:rPr>
        <w:t xml:space="preserve"> </w:t>
      </w:r>
      <w:r w:rsidR="00B52FF1" w:rsidRPr="0043224D">
        <w:rPr>
          <w:rFonts w:ascii="Times New Roman" w:eastAsia="Palatino-Roman" w:hAnsi="Times New Roman" w:cs="Times New Roman"/>
          <w:sz w:val="24"/>
          <w:szCs w:val="24"/>
        </w:rPr>
        <w:t xml:space="preserve"> </w:t>
      </w:r>
    </w:p>
    <w:p w:rsidR="00286FA9" w:rsidRPr="0043224D" w:rsidRDefault="00CF1420" w:rsidP="00060EEC">
      <w:pPr>
        <w:spacing w:line="360" w:lineRule="auto"/>
        <w:ind w:firstLine="720"/>
        <w:rPr>
          <w:rFonts w:ascii="Times New Roman" w:hAnsi="Times New Roman" w:cs="Times New Roman"/>
          <w:sz w:val="24"/>
          <w:szCs w:val="24"/>
          <w:shd w:val="clear" w:color="auto" w:fill="FFFFFF"/>
        </w:rPr>
      </w:pPr>
      <w:r w:rsidRPr="0043224D">
        <w:rPr>
          <w:rFonts w:ascii="Times New Roman" w:hAnsi="Times New Roman" w:cs="Times New Roman"/>
          <w:sz w:val="24"/>
          <w:szCs w:val="24"/>
        </w:rPr>
        <w:t xml:space="preserve">Resource exploitation by mining projects on the lands, rivers, and territories of </w:t>
      </w:r>
      <w:r w:rsidR="000E223E" w:rsidRPr="0043224D">
        <w:rPr>
          <w:rFonts w:ascii="Times New Roman" w:hAnsi="Times New Roman" w:cs="Times New Roman"/>
          <w:sz w:val="24"/>
          <w:szCs w:val="24"/>
        </w:rPr>
        <w:t>indigenous peoples</w:t>
      </w:r>
      <w:r w:rsidR="007307FE" w:rsidRPr="0043224D">
        <w:rPr>
          <w:rFonts w:ascii="Times New Roman" w:hAnsi="Times New Roman" w:cs="Times New Roman"/>
          <w:sz w:val="24"/>
          <w:szCs w:val="24"/>
        </w:rPr>
        <w:t xml:space="preserve"> in particular</w:t>
      </w:r>
      <w:r w:rsidRPr="0043224D">
        <w:rPr>
          <w:rFonts w:ascii="Times New Roman" w:hAnsi="Times New Roman" w:cs="Times New Roman"/>
          <w:sz w:val="24"/>
          <w:szCs w:val="24"/>
        </w:rPr>
        <w:t xml:space="preserve"> has consistently been associated with human rights abuses</w:t>
      </w:r>
      <w:r w:rsidR="005A6390" w:rsidRPr="0043224D">
        <w:rPr>
          <w:rFonts w:ascii="Times New Roman" w:hAnsi="Times New Roman" w:cs="Times New Roman"/>
          <w:sz w:val="24"/>
          <w:szCs w:val="24"/>
        </w:rPr>
        <w:t>, up to and including</w:t>
      </w:r>
      <w:r w:rsidR="00C652EA" w:rsidRPr="0043224D">
        <w:rPr>
          <w:rFonts w:ascii="Times New Roman" w:hAnsi="Times New Roman" w:cs="Times New Roman"/>
          <w:sz w:val="24"/>
          <w:szCs w:val="24"/>
        </w:rPr>
        <w:t xml:space="preserve"> environmental degradation. For</w:t>
      </w:r>
      <w:r w:rsidR="00CB552A" w:rsidRPr="0043224D">
        <w:rPr>
          <w:rFonts w:ascii="Times New Roman" w:hAnsi="Times New Roman" w:cs="Times New Roman"/>
          <w:sz w:val="24"/>
          <w:szCs w:val="24"/>
        </w:rPr>
        <w:t xml:space="preserve"> instance</w:t>
      </w:r>
      <w:r w:rsidR="00E3467A" w:rsidRPr="0043224D">
        <w:rPr>
          <w:rFonts w:ascii="Times New Roman" w:hAnsi="Times New Roman" w:cs="Times New Roman"/>
          <w:sz w:val="24"/>
          <w:szCs w:val="24"/>
        </w:rPr>
        <w:t>,</w:t>
      </w:r>
      <w:r w:rsidR="00CB552A" w:rsidRPr="0043224D">
        <w:rPr>
          <w:rFonts w:ascii="Times New Roman" w:hAnsi="Times New Roman" w:cs="Times New Roman"/>
          <w:sz w:val="24"/>
          <w:szCs w:val="24"/>
        </w:rPr>
        <w:t xml:space="preserve"> deforestation</w:t>
      </w:r>
      <w:r w:rsidR="008B4DCD" w:rsidRPr="0043224D">
        <w:rPr>
          <w:rFonts w:ascii="Times New Roman" w:hAnsi="Times New Roman" w:cs="Times New Roman"/>
          <w:sz w:val="24"/>
          <w:szCs w:val="24"/>
        </w:rPr>
        <w:t xml:space="preserve"> and oil spills</w:t>
      </w:r>
      <w:r w:rsidR="00E3467A" w:rsidRPr="0043224D">
        <w:rPr>
          <w:rFonts w:ascii="Times New Roman" w:hAnsi="Times New Roman" w:cs="Times New Roman"/>
          <w:sz w:val="24"/>
          <w:szCs w:val="24"/>
        </w:rPr>
        <w:t>;</w:t>
      </w:r>
      <w:r w:rsidR="00560DBB" w:rsidRPr="0043224D">
        <w:rPr>
          <w:rStyle w:val="FootnoteReference"/>
          <w:rFonts w:ascii="Times New Roman" w:hAnsi="Times New Roman" w:cs="Times New Roman"/>
          <w:sz w:val="24"/>
          <w:szCs w:val="24"/>
        </w:rPr>
        <w:footnoteReference w:id="93"/>
      </w:r>
      <w:r w:rsidR="00E3467A" w:rsidRPr="0043224D">
        <w:rPr>
          <w:rFonts w:ascii="Times New Roman" w:hAnsi="Times New Roman" w:cs="Times New Roman"/>
          <w:sz w:val="24"/>
          <w:szCs w:val="24"/>
        </w:rPr>
        <w:t xml:space="preserve"> </w:t>
      </w:r>
      <w:r w:rsidR="005A6390" w:rsidRPr="0043224D">
        <w:rPr>
          <w:rFonts w:ascii="Times New Roman" w:hAnsi="Times New Roman" w:cs="Times New Roman"/>
          <w:sz w:val="24"/>
          <w:szCs w:val="24"/>
        </w:rPr>
        <w:t xml:space="preserve">intimidation and harassment of </w:t>
      </w:r>
      <w:r w:rsidR="002B34C4" w:rsidRPr="0043224D">
        <w:rPr>
          <w:rFonts w:ascii="Times New Roman" w:hAnsi="Times New Roman" w:cs="Times New Roman"/>
          <w:sz w:val="24"/>
          <w:szCs w:val="24"/>
        </w:rPr>
        <w:t xml:space="preserve">indigenous </w:t>
      </w:r>
      <w:r w:rsidR="005A6390" w:rsidRPr="0043224D">
        <w:rPr>
          <w:rFonts w:ascii="Times New Roman" w:hAnsi="Times New Roman" w:cs="Times New Roman"/>
          <w:sz w:val="24"/>
          <w:szCs w:val="24"/>
        </w:rPr>
        <w:t>resistance movements</w:t>
      </w:r>
      <w:r w:rsidR="009170F7" w:rsidRPr="0043224D">
        <w:rPr>
          <w:rFonts w:ascii="Times New Roman" w:hAnsi="Times New Roman" w:cs="Times New Roman"/>
          <w:sz w:val="24"/>
          <w:szCs w:val="24"/>
        </w:rPr>
        <w:t xml:space="preserve"> during mining projects</w:t>
      </w:r>
      <w:r w:rsidR="00E3467A" w:rsidRPr="0043224D">
        <w:rPr>
          <w:rFonts w:ascii="Times New Roman" w:hAnsi="Times New Roman" w:cs="Times New Roman"/>
          <w:sz w:val="24"/>
          <w:szCs w:val="24"/>
        </w:rPr>
        <w:t>;</w:t>
      </w:r>
      <w:r w:rsidR="00560DBB" w:rsidRPr="0043224D">
        <w:rPr>
          <w:rStyle w:val="FootnoteReference"/>
          <w:rFonts w:ascii="Times New Roman" w:hAnsi="Times New Roman" w:cs="Times New Roman"/>
          <w:sz w:val="24"/>
          <w:szCs w:val="24"/>
        </w:rPr>
        <w:footnoteReference w:id="94"/>
      </w:r>
      <w:r w:rsidR="005A6390" w:rsidRPr="0043224D">
        <w:rPr>
          <w:rFonts w:ascii="Times New Roman" w:hAnsi="Times New Roman" w:cs="Times New Roman"/>
          <w:sz w:val="24"/>
          <w:szCs w:val="24"/>
        </w:rPr>
        <w:t xml:space="preserve"> and</w:t>
      </w:r>
      <w:r w:rsidR="003766C9" w:rsidRPr="0043224D">
        <w:rPr>
          <w:rFonts w:ascii="Times New Roman" w:hAnsi="Times New Roman" w:cs="Times New Roman"/>
          <w:sz w:val="24"/>
          <w:szCs w:val="24"/>
        </w:rPr>
        <w:t xml:space="preserve"> in some cases, </w:t>
      </w:r>
      <w:r w:rsidR="002B34C4" w:rsidRPr="0043224D">
        <w:rPr>
          <w:rFonts w:ascii="Times New Roman" w:hAnsi="Times New Roman" w:cs="Times New Roman"/>
          <w:sz w:val="24"/>
          <w:szCs w:val="24"/>
        </w:rPr>
        <w:t xml:space="preserve">allegations of </w:t>
      </w:r>
      <w:r w:rsidR="003766C9" w:rsidRPr="0043224D">
        <w:rPr>
          <w:rFonts w:ascii="Times New Roman" w:hAnsi="Times New Roman" w:cs="Times New Roman"/>
          <w:sz w:val="24"/>
          <w:szCs w:val="24"/>
        </w:rPr>
        <w:t>collusion with state forces in</w:t>
      </w:r>
      <w:r w:rsidR="00560DBB" w:rsidRPr="0043224D">
        <w:rPr>
          <w:rFonts w:ascii="Times New Roman" w:hAnsi="Times New Roman" w:cs="Times New Roman"/>
          <w:sz w:val="24"/>
          <w:szCs w:val="24"/>
        </w:rPr>
        <w:t xml:space="preserve"> </w:t>
      </w:r>
      <w:r w:rsidR="009A4A5E" w:rsidRPr="0043224D">
        <w:rPr>
          <w:rFonts w:ascii="Times New Roman" w:hAnsi="Times New Roman" w:cs="Times New Roman"/>
          <w:sz w:val="24"/>
          <w:szCs w:val="24"/>
        </w:rPr>
        <w:t xml:space="preserve">the </w:t>
      </w:r>
      <w:r w:rsidR="00560DBB" w:rsidRPr="0043224D">
        <w:rPr>
          <w:rFonts w:ascii="Times New Roman" w:hAnsi="Times New Roman" w:cs="Times New Roman"/>
          <w:sz w:val="24"/>
          <w:szCs w:val="24"/>
        </w:rPr>
        <w:t>murder</w:t>
      </w:r>
      <w:r w:rsidR="002B34C4" w:rsidRPr="0043224D">
        <w:rPr>
          <w:rFonts w:ascii="Times New Roman" w:hAnsi="Times New Roman" w:cs="Times New Roman"/>
          <w:sz w:val="24"/>
          <w:szCs w:val="24"/>
        </w:rPr>
        <w:t xml:space="preserve"> of indigenous activists</w:t>
      </w:r>
      <w:r w:rsidR="00560DBB" w:rsidRPr="0043224D">
        <w:rPr>
          <w:rFonts w:ascii="Times New Roman" w:hAnsi="Times New Roman" w:cs="Times New Roman"/>
          <w:sz w:val="24"/>
          <w:szCs w:val="24"/>
        </w:rPr>
        <w:t>.</w:t>
      </w:r>
      <w:r w:rsidR="00970014" w:rsidRPr="0043224D">
        <w:rPr>
          <w:rStyle w:val="FootnoteReference"/>
          <w:rFonts w:ascii="Times New Roman" w:hAnsi="Times New Roman" w:cs="Times New Roman"/>
          <w:sz w:val="24"/>
          <w:szCs w:val="24"/>
        </w:rPr>
        <w:footnoteReference w:id="95"/>
      </w:r>
      <w:r w:rsidRPr="0043224D">
        <w:rPr>
          <w:rFonts w:ascii="Times New Roman" w:hAnsi="Times New Roman" w:cs="Times New Roman"/>
          <w:sz w:val="24"/>
          <w:szCs w:val="24"/>
        </w:rPr>
        <w:t xml:space="preserve">  </w:t>
      </w:r>
      <w:r w:rsidR="00A32910" w:rsidRPr="0043224D">
        <w:rPr>
          <w:rFonts w:ascii="Times New Roman" w:hAnsi="Times New Roman" w:cs="Times New Roman"/>
          <w:sz w:val="24"/>
          <w:szCs w:val="24"/>
        </w:rPr>
        <w:t xml:space="preserve"> </w:t>
      </w:r>
      <w:r w:rsidR="00286FA9" w:rsidRPr="0043224D">
        <w:rPr>
          <w:rFonts w:ascii="Times New Roman" w:hAnsi="Times New Roman" w:cs="Times New Roman"/>
          <w:sz w:val="24"/>
          <w:szCs w:val="24"/>
          <w:shd w:val="clear" w:color="auto" w:fill="FFFFFF"/>
        </w:rPr>
        <w:t>Both the following cases highlight how resource exploitation can and does lead to development aggression and the relative impunity of extractive companies when comes to mining for oil and gas on the lands of indigenous peoples</w:t>
      </w:r>
      <w:r w:rsidR="00286FA9" w:rsidRPr="0043224D">
        <w:rPr>
          <w:rFonts w:ascii="Times New Roman" w:hAnsi="Times New Roman" w:cs="Times New Roman"/>
          <w:b/>
          <w:sz w:val="24"/>
          <w:szCs w:val="24"/>
          <w:shd w:val="clear" w:color="auto" w:fill="FFFFFF"/>
        </w:rPr>
        <w:t xml:space="preserve">. </w:t>
      </w:r>
      <w:r w:rsidR="00286FA9" w:rsidRPr="0043224D">
        <w:rPr>
          <w:rFonts w:ascii="Times New Roman" w:hAnsi="Times New Roman" w:cs="Times New Roman"/>
          <w:sz w:val="24"/>
          <w:szCs w:val="24"/>
          <w:shd w:val="clear" w:color="auto" w:fill="FFFFFF"/>
        </w:rPr>
        <w:t xml:space="preserve">In international law, the state is the primary duty-bearer of rights, yet this does not absolve multinational extractive companies or others from responsibility as third parties. </w:t>
      </w:r>
    </w:p>
    <w:p w:rsidR="005B3305" w:rsidRPr="0043224D" w:rsidRDefault="009A4A5E" w:rsidP="00060EEC">
      <w:pPr>
        <w:spacing w:line="360" w:lineRule="auto"/>
        <w:ind w:firstLine="720"/>
        <w:rPr>
          <w:rFonts w:ascii="Times New Roman" w:eastAsia="Times New Roman" w:hAnsi="Times New Roman" w:cs="Times New Roman"/>
          <w:sz w:val="24"/>
          <w:szCs w:val="24"/>
        </w:rPr>
      </w:pPr>
      <w:r w:rsidRPr="0043224D">
        <w:rPr>
          <w:rFonts w:ascii="Times New Roman" w:hAnsi="Times New Roman" w:cs="Times New Roman"/>
          <w:sz w:val="24"/>
          <w:szCs w:val="24"/>
        </w:rPr>
        <w:t>Two significant cases</w:t>
      </w:r>
      <w:r w:rsidR="00A32910" w:rsidRPr="0043224D">
        <w:rPr>
          <w:rFonts w:ascii="Times New Roman" w:hAnsi="Times New Roman" w:cs="Times New Roman"/>
          <w:sz w:val="24"/>
          <w:szCs w:val="24"/>
        </w:rPr>
        <w:t xml:space="preserve"> that</w:t>
      </w:r>
      <w:r w:rsidRPr="0043224D">
        <w:rPr>
          <w:rFonts w:ascii="Times New Roman" w:hAnsi="Times New Roman" w:cs="Times New Roman"/>
          <w:sz w:val="24"/>
          <w:szCs w:val="24"/>
        </w:rPr>
        <w:t xml:space="preserve"> have come to light in recent years</w:t>
      </w:r>
      <w:r w:rsidR="00A32910" w:rsidRPr="0043224D">
        <w:rPr>
          <w:rFonts w:ascii="Times New Roman" w:hAnsi="Times New Roman" w:cs="Times New Roman"/>
          <w:sz w:val="24"/>
          <w:szCs w:val="24"/>
        </w:rPr>
        <w:t xml:space="preserve"> were brought under the Alien Tort Claims Act (</w:t>
      </w:r>
      <w:r w:rsidR="008B4DCD" w:rsidRPr="0043224D">
        <w:rPr>
          <w:rFonts w:ascii="Times New Roman" w:hAnsi="Times New Roman" w:cs="Times New Roman"/>
          <w:sz w:val="24"/>
          <w:szCs w:val="24"/>
        </w:rPr>
        <w:t xml:space="preserve">hereafter </w:t>
      </w:r>
      <w:r w:rsidR="00A32910" w:rsidRPr="0043224D">
        <w:rPr>
          <w:rFonts w:ascii="Times New Roman" w:hAnsi="Times New Roman" w:cs="Times New Roman"/>
          <w:sz w:val="24"/>
          <w:szCs w:val="24"/>
        </w:rPr>
        <w:t>ACTA) in the United States</w:t>
      </w:r>
      <w:r w:rsidRPr="0043224D">
        <w:rPr>
          <w:rFonts w:ascii="Times New Roman" w:hAnsi="Times New Roman" w:cs="Times New Roman"/>
          <w:sz w:val="24"/>
          <w:szCs w:val="24"/>
        </w:rPr>
        <w:t>, both regarding corporate accountability</w:t>
      </w:r>
      <w:r w:rsidR="00A32910" w:rsidRPr="0043224D">
        <w:rPr>
          <w:rFonts w:ascii="Times New Roman" w:hAnsi="Times New Roman" w:cs="Times New Roman"/>
          <w:sz w:val="24"/>
          <w:szCs w:val="24"/>
        </w:rPr>
        <w:t xml:space="preserve"> and egregious actions of</w:t>
      </w:r>
      <w:r w:rsidR="008B4DCD" w:rsidRPr="0043224D">
        <w:rPr>
          <w:rFonts w:ascii="Times New Roman" w:hAnsi="Times New Roman" w:cs="Times New Roman"/>
          <w:sz w:val="24"/>
          <w:szCs w:val="24"/>
        </w:rPr>
        <w:t xml:space="preserve"> specific</w:t>
      </w:r>
      <w:r w:rsidR="00A32910" w:rsidRPr="0043224D">
        <w:rPr>
          <w:rFonts w:ascii="Times New Roman" w:hAnsi="Times New Roman" w:cs="Times New Roman"/>
          <w:sz w:val="24"/>
          <w:szCs w:val="24"/>
        </w:rPr>
        <w:t xml:space="preserve"> agents of the state, in both cases the military of the states in question</w:t>
      </w:r>
      <w:r w:rsidR="008B4DCD" w:rsidRPr="0043224D">
        <w:rPr>
          <w:rFonts w:ascii="Times New Roman" w:hAnsi="Times New Roman" w:cs="Times New Roman"/>
          <w:sz w:val="24"/>
          <w:szCs w:val="24"/>
        </w:rPr>
        <w:t xml:space="preserve">. ACTA </w:t>
      </w:r>
      <w:r w:rsidRPr="0043224D">
        <w:rPr>
          <w:rFonts w:ascii="Times New Roman" w:hAnsi="Times New Roman" w:cs="Times New Roman"/>
          <w:sz w:val="24"/>
          <w:szCs w:val="24"/>
        </w:rPr>
        <w:t xml:space="preserve">allows non-citizens of the US to bring a civil suit in domestic courts for injury committed in violation of international law.  In </w:t>
      </w:r>
      <w:r w:rsidRPr="0043224D">
        <w:rPr>
          <w:rStyle w:val="Emphasis"/>
          <w:rFonts w:ascii="Times New Roman" w:hAnsi="Times New Roman" w:cs="Times New Roman"/>
          <w:bCs/>
          <w:iCs w:val="0"/>
          <w:sz w:val="24"/>
          <w:szCs w:val="24"/>
          <w:shd w:val="clear" w:color="auto" w:fill="FFFFFF"/>
        </w:rPr>
        <w:t>Doe v</w:t>
      </w:r>
      <w:r w:rsidRPr="0043224D">
        <w:rPr>
          <w:rFonts w:ascii="Times New Roman" w:hAnsi="Times New Roman" w:cs="Times New Roman"/>
          <w:i/>
          <w:sz w:val="24"/>
          <w:szCs w:val="24"/>
          <w:shd w:val="clear" w:color="auto" w:fill="FFFFFF"/>
        </w:rPr>
        <w:t>.</w:t>
      </w:r>
      <w:r w:rsidRPr="0043224D">
        <w:rPr>
          <w:rStyle w:val="apple-converted-space"/>
          <w:rFonts w:ascii="Times New Roman" w:hAnsi="Times New Roman" w:cs="Times New Roman"/>
          <w:i/>
          <w:sz w:val="24"/>
          <w:szCs w:val="24"/>
          <w:shd w:val="clear" w:color="auto" w:fill="FFFFFF"/>
        </w:rPr>
        <w:t> </w:t>
      </w:r>
      <w:r w:rsidRPr="0043224D">
        <w:rPr>
          <w:rStyle w:val="Emphasis"/>
          <w:rFonts w:ascii="Times New Roman" w:hAnsi="Times New Roman" w:cs="Times New Roman"/>
          <w:bCs/>
          <w:iCs w:val="0"/>
          <w:sz w:val="24"/>
          <w:szCs w:val="24"/>
          <w:shd w:val="clear" w:color="auto" w:fill="FFFFFF"/>
        </w:rPr>
        <w:t>Unocal</w:t>
      </w:r>
      <w:r w:rsidRPr="0043224D">
        <w:rPr>
          <w:rStyle w:val="FootnoteReference"/>
          <w:rFonts w:ascii="Times New Roman" w:hAnsi="Times New Roman" w:cs="Times New Roman"/>
          <w:sz w:val="24"/>
          <w:szCs w:val="24"/>
          <w:shd w:val="clear" w:color="auto" w:fill="FFFFFF"/>
        </w:rPr>
        <w:footnoteReference w:id="96"/>
      </w:r>
      <w:r w:rsidRPr="0043224D">
        <w:rPr>
          <w:rFonts w:ascii="Times New Roman" w:hAnsi="Times New Roman" w:cs="Times New Roman"/>
          <w:sz w:val="24"/>
          <w:szCs w:val="24"/>
          <w:shd w:val="clear" w:color="auto" w:fill="FFFFFF"/>
        </w:rPr>
        <w:t xml:space="preserve"> the</w:t>
      </w:r>
      <w:r w:rsidR="005B3305" w:rsidRPr="0043224D">
        <w:rPr>
          <w:rFonts w:ascii="Times New Roman" w:hAnsi="Times New Roman" w:cs="Times New Roman"/>
          <w:sz w:val="24"/>
          <w:szCs w:val="24"/>
          <w:shd w:val="clear" w:color="auto" w:fill="FFFFFF"/>
        </w:rPr>
        <w:t xml:space="preserve"> </w:t>
      </w:r>
      <w:r w:rsidRPr="0043224D">
        <w:rPr>
          <w:rFonts w:ascii="Times New Roman" w:hAnsi="Times New Roman" w:cs="Times New Roman"/>
          <w:sz w:val="24"/>
          <w:szCs w:val="24"/>
          <w:shd w:val="clear" w:color="auto" w:fill="FFFFFF"/>
        </w:rPr>
        <w:t xml:space="preserve"> </w:t>
      </w:r>
      <w:r w:rsidR="005B3305" w:rsidRPr="0043224D">
        <w:rPr>
          <w:rFonts w:ascii="Times New Roman" w:eastAsia="Times New Roman" w:hAnsi="Times New Roman" w:cs="Times New Roman"/>
          <w:sz w:val="24"/>
          <w:szCs w:val="24"/>
        </w:rPr>
        <w:t>plaintiffs</w:t>
      </w:r>
      <w:r w:rsidR="005B3305" w:rsidRPr="0043224D">
        <w:rPr>
          <w:rFonts w:ascii="Times New Roman" w:hAnsi="Times New Roman" w:cs="Times New Roman"/>
          <w:sz w:val="24"/>
          <w:szCs w:val="24"/>
          <w:shd w:val="clear" w:color="auto" w:fill="FFFFFF"/>
        </w:rPr>
        <w:t xml:space="preserve"> </w:t>
      </w:r>
      <w:r w:rsidRPr="0043224D">
        <w:rPr>
          <w:rFonts w:ascii="Times New Roman" w:hAnsi="Times New Roman" w:cs="Times New Roman"/>
          <w:sz w:val="24"/>
          <w:szCs w:val="24"/>
          <w:shd w:val="clear" w:color="auto" w:fill="FFFFFF"/>
        </w:rPr>
        <w:t>alleged</w:t>
      </w:r>
      <w:r w:rsidR="00BB2017" w:rsidRPr="0043224D">
        <w:rPr>
          <w:rFonts w:ascii="Times New Roman" w:hAnsi="Times New Roman" w:cs="Times New Roman"/>
          <w:sz w:val="24"/>
          <w:szCs w:val="24"/>
          <w:shd w:val="clear" w:color="auto" w:fill="FFFFFF"/>
        </w:rPr>
        <w:t xml:space="preserve"> that Unocal</w:t>
      </w:r>
      <w:r w:rsidRPr="0043224D">
        <w:rPr>
          <w:rFonts w:ascii="Times New Roman" w:hAnsi="Times New Roman" w:cs="Times New Roman"/>
          <w:sz w:val="24"/>
          <w:szCs w:val="24"/>
          <w:shd w:val="clear" w:color="auto" w:fill="FFFFFF"/>
        </w:rPr>
        <w:t xml:space="preserve"> supported the Myanmar military</w:t>
      </w:r>
      <w:r w:rsidR="00BB2017" w:rsidRPr="0043224D">
        <w:rPr>
          <w:rFonts w:ascii="Times New Roman" w:hAnsi="Times New Roman" w:cs="Times New Roman"/>
          <w:sz w:val="24"/>
          <w:szCs w:val="24"/>
          <w:shd w:val="clear" w:color="auto" w:fill="FFFFFF"/>
        </w:rPr>
        <w:t xml:space="preserve"> (the military had been hired as security</w:t>
      </w:r>
      <w:r w:rsidR="00875201" w:rsidRPr="0043224D">
        <w:rPr>
          <w:rFonts w:ascii="Times New Roman" w:hAnsi="Times New Roman" w:cs="Times New Roman"/>
          <w:sz w:val="24"/>
          <w:szCs w:val="24"/>
          <w:shd w:val="clear" w:color="auto" w:fill="FFFFFF"/>
        </w:rPr>
        <w:t xml:space="preserve"> by Unocal</w:t>
      </w:r>
      <w:r w:rsidR="00BB2017" w:rsidRPr="0043224D">
        <w:rPr>
          <w:rFonts w:ascii="Times New Roman" w:hAnsi="Times New Roman" w:cs="Times New Roman"/>
          <w:sz w:val="24"/>
          <w:szCs w:val="24"/>
          <w:shd w:val="clear" w:color="auto" w:fill="FFFFFF"/>
        </w:rPr>
        <w:t>) while</w:t>
      </w:r>
      <w:r w:rsidRPr="0043224D">
        <w:rPr>
          <w:rFonts w:ascii="Times New Roman" w:hAnsi="Times New Roman" w:cs="Times New Roman"/>
          <w:sz w:val="24"/>
          <w:szCs w:val="24"/>
          <w:shd w:val="clear" w:color="auto" w:fill="FFFFFF"/>
        </w:rPr>
        <w:t xml:space="preserve"> it subjected </w:t>
      </w:r>
      <w:r w:rsidR="00BB2017" w:rsidRPr="0043224D">
        <w:rPr>
          <w:rFonts w:ascii="Times New Roman" w:hAnsi="Times New Roman" w:cs="Times New Roman"/>
          <w:sz w:val="24"/>
          <w:szCs w:val="24"/>
          <w:shd w:val="clear" w:color="auto" w:fill="FFFFFF"/>
        </w:rPr>
        <w:t>local people</w:t>
      </w:r>
      <w:r w:rsidRPr="0043224D">
        <w:rPr>
          <w:rFonts w:ascii="Times New Roman" w:hAnsi="Times New Roman" w:cs="Times New Roman"/>
          <w:sz w:val="24"/>
          <w:szCs w:val="24"/>
          <w:shd w:val="clear" w:color="auto" w:fill="FFFFFF"/>
        </w:rPr>
        <w:t xml:space="preserve"> to forced displacement, forced labour, rape and murder during the construction of an oil pipel</w:t>
      </w:r>
      <w:r w:rsidR="00BB2017" w:rsidRPr="0043224D">
        <w:rPr>
          <w:rFonts w:ascii="Times New Roman" w:hAnsi="Times New Roman" w:cs="Times New Roman"/>
          <w:sz w:val="24"/>
          <w:szCs w:val="24"/>
          <w:shd w:val="clear" w:color="auto" w:fill="FFFFFF"/>
        </w:rPr>
        <w:t>ine in the country in the 1990s</w:t>
      </w:r>
      <w:r w:rsidRPr="0043224D">
        <w:rPr>
          <w:rFonts w:ascii="Times New Roman" w:hAnsi="Times New Roman" w:cs="Times New Roman"/>
          <w:sz w:val="24"/>
          <w:szCs w:val="24"/>
          <w:shd w:val="clear" w:color="auto" w:fill="FFFFFF"/>
        </w:rPr>
        <w:t xml:space="preserve">. After rejection by district courts in California, </w:t>
      </w:r>
      <w:r w:rsidRPr="0043224D">
        <w:rPr>
          <w:rFonts w:ascii="Times New Roman" w:eastAsia="Times New Roman" w:hAnsi="Times New Roman" w:cs="Times New Roman"/>
          <w:sz w:val="24"/>
          <w:szCs w:val="24"/>
        </w:rPr>
        <w:t xml:space="preserve">the United States Court of Appeals for the Ninth Circuit reversed those decisions and the case went to trial. </w:t>
      </w:r>
      <w:r w:rsidR="00523CBE" w:rsidRPr="0043224D">
        <w:rPr>
          <w:rFonts w:ascii="Times New Roman" w:eastAsia="Times New Roman" w:hAnsi="Times New Roman" w:cs="Times New Roman"/>
          <w:sz w:val="24"/>
          <w:szCs w:val="24"/>
        </w:rPr>
        <w:t>In any event, before</w:t>
      </w:r>
      <w:r w:rsidRPr="0043224D">
        <w:rPr>
          <w:rFonts w:ascii="Times New Roman" w:eastAsia="Times New Roman" w:hAnsi="Times New Roman" w:cs="Times New Roman"/>
          <w:sz w:val="24"/>
          <w:szCs w:val="24"/>
        </w:rPr>
        <w:t xml:space="preserve"> the trial began in 2005, the </w:t>
      </w:r>
      <w:r w:rsidR="00875201" w:rsidRPr="0043224D">
        <w:rPr>
          <w:rFonts w:ascii="Times New Roman" w:eastAsia="Times New Roman" w:hAnsi="Times New Roman" w:cs="Times New Roman"/>
          <w:sz w:val="24"/>
          <w:szCs w:val="24"/>
        </w:rPr>
        <w:t>parties agreed to a settlement.</w:t>
      </w:r>
      <w:r w:rsidRPr="0043224D">
        <w:rPr>
          <w:rStyle w:val="FootnoteReference"/>
          <w:rFonts w:ascii="Times New Roman" w:eastAsia="Times New Roman" w:hAnsi="Times New Roman" w:cs="Times New Roman"/>
          <w:sz w:val="24"/>
          <w:szCs w:val="24"/>
        </w:rPr>
        <w:footnoteReference w:id="97"/>
      </w:r>
      <w:r w:rsidR="00BB2017" w:rsidRPr="0043224D">
        <w:rPr>
          <w:rFonts w:ascii="Times New Roman" w:eastAsia="Times New Roman" w:hAnsi="Times New Roman" w:cs="Times New Roman"/>
          <w:sz w:val="24"/>
          <w:szCs w:val="24"/>
        </w:rPr>
        <w:t xml:space="preserve"> </w:t>
      </w:r>
      <w:r w:rsidRPr="0043224D">
        <w:rPr>
          <w:rFonts w:ascii="Times New Roman" w:eastAsia="Times New Roman" w:hAnsi="Times New Roman" w:cs="Times New Roman"/>
          <w:sz w:val="24"/>
          <w:szCs w:val="24"/>
        </w:rPr>
        <w:t xml:space="preserve"> </w:t>
      </w:r>
      <w:r w:rsidR="00A32910" w:rsidRPr="0043224D">
        <w:rPr>
          <w:rFonts w:ascii="Times New Roman" w:eastAsia="Times New Roman" w:hAnsi="Times New Roman" w:cs="Times New Roman"/>
          <w:sz w:val="24"/>
          <w:szCs w:val="24"/>
        </w:rPr>
        <w:t>Although the plaintiffs in this case were not</w:t>
      </w:r>
      <w:r w:rsidR="005B3305" w:rsidRPr="0043224D">
        <w:rPr>
          <w:rFonts w:ascii="Times New Roman" w:eastAsia="Times New Roman" w:hAnsi="Times New Roman" w:cs="Times New Roman"/>
          <w:sz w:val="24"/>
          <w:szCs w:val="24"/>
        </w:rPr>
        <w:t xml:space="preserve"> representing</w:t>
      </w:r>
      <w:r w:rsidR="00A32910" w:rsidRPr="0043224D">
        <w:rPr>
          <w:rFonts w:ascii="Times New Roman" w:eastAsia="Times New Roman" w:hAnsi="Times New Roman" w:cs="Times New Roman"/>
          <w:sz w:val="24"/>
          <w:szCs w:val="24"/>
        </w:rPr>
        <w:t xml:space="preserve"> indigenous peoples, nevertheless </w:t>
      </w:r>
      <w:r w:rsidR="00B45298" w:rsidRPr="0043224D">
        <w:rPr>
          <w:rFonts w:ascii="Times New Roman" w:eastAsia="Times New Roman" w:hAnsi="Times New Roman" w:cs="Times New Roman"/>
          <w:sz w:val="24"/>
          <w:szCs w:val="24"/>
        </w:rPr>
        <w:t>it is of significant importance in that third parties, in this case an oil multinational based in the US, can be held liable in cases human rights violations, including forced displacement.</w:t>
      </w:r>
      <w:r w:rsidR="00523CBE" w:rsidRPr="0043224D">
        <w:rPr>
          <w:rFonts w:ascii="Times New Roman" w:eastAsia="Times New Roman" w:hAnsi="Times New Roman" w:cs="Times New Roman"/>
          <w:i/>
          <w:sz w:val="24"/>
          <w:szCs w:val="24"/>
        </w:rPr>
        <w:t xml:space="preserve"> </w:t>
      </w:r>
    </w:p>
    <w:p w:rsidR="009A4A5E" w:rsidRPr="0043224D" w:rsidRDefault="005B3305" w:rsidP="00060EEC">
      <w:pPr>
        <w:spacing w:line="360" w:lineRule="auto"/>
        <w:ind w:firstLine="720"/>
        <w:rPr>
          <w:rFonts w:ascii="Times New Roman" w:eastAsia="Times New Roman" w:hAnsi="Times New Roman" w:cs="Times New Roman"/>
          <w:sz w:val="24"/>
          <w:szCs w:val="24"/>
        </w:rPr>
      </w:pPr>
      <w:r w:rsidRPr="0043224D">
        <w:rPr>
          <w:rFonts w:ascii="Times New Roman" w:eastAsia="Times New Roman" w:hAnsi="Times New Roman" w:cs="Times New Roman"/>
          <w:sz w:val="24"/>
          <w:szCs w:val="24"/>
        </w:rPr>
        <w:t xml:space="preserve">This particular </w:t>
      </w:r>
      <w:r w:rsidR="00A32910" w:rsidRPr="0043224D">
        <w:rPr>
          <w:rFonts w:ascii="Times New Roman" w:eastAsia="Times New Roman" w:hAnsi="Times New Roman" w:cs="Times New Roman"/>
          <w:sz w:val="24"/>
          <w:szCs w:val="24"/>
        </w:rPr>
        <w:t>case illustrates a</w:t>
      </w:r>
      <w:r w:rsidR="00760003" w:rsidRPr="0043224D">
        <w:rPr>
          <w:rFonts w:ascii="Times New Roman" w:eastAsia="Times New Roman" w:hAnsi="Times New Roman" w:cs="Times New Roman"/>
          <w:sz w:val="24"/>
          <w:szCs w:val="24"/>
        </w:rPr>
        <w:t>n</w:t>
      </w:r>
      <w:r w:rsidR="00A32910" w:rsidRPr="0043224D">
        <w:rPr>
          <w:rFonts w:ascii="Times New Roman" w:eastAsia="Times New Roman" w:hAnsi="Times New Roman" w:cs="Times New Roman"/>
          <w:sz w:val="24"/>
          <w:szCs w:val="24"/>
        </w:rPr>
        <w:t xml:space="preserve"> </w:t>
      </w:r>
      <w:r w:rsidR="00760003" w:rsidRPr="0043224D">
        <w:rPr>
          <w:rFonts w:ascii="Times New Roman" w:eastAsia="Times New Roman" w:hAnsi="Times New Roman" w:cs="Times New Roman"/>
          <w:sz w:val="24"/>
          <w:szCs w:val="24"/>
        </w:rPr>
        <w:t xml:space="preserve">exceptionally </w:t>
      </w:r>
      <w:r w:rsidR="00A32910" w:rsidRPr="0043224D">
        <w:rPr>
          <w:rFonts w:ascii="Times New Roman" w:eastAsia="Times New Roman" w:hAnsi="Times New Roman" w:cs="Times New Roman"/>
          <w:sz w:val="24"/>
          <w:szCs w:val="24"/>
        </w:rPr>
        <w:t xml:space="preserve">dark side </w:t>
      </w:r>
      <w:r w:rsidR="0084020F" w:rsidRPr="0043224D">
        <w:rPr>
          <w:rFonts w:ascii="Times New Roman" w:eastAsia="Times New Roman" w:hAnsi="Times New Roman" w:cs="Times New Roman"/>
          <w:sz w:val="24"/>
          <w:szCs w:val="24"/>
        </w:rPr>
        <w:t>to</w:t>
      </w:r>
      <w:r w:rsidR="001066E8" w:rsidRPr="0043224D">
        <w:rPr>
          <w:rFonts w:ascii="Times New Roman" w:eastAsia="Times New Roman" w:hAnsi="Times New Roman" w:cs="Times New Roman"/>
          <w:sz w:val="24"/>
          <w:szCs w:val="24"/>
        </w:rPr>
        <w:t xml:space="preserve"> Gilbert and </w:t>
      </w:r>
      <w:r w:rsidR="00770D61" w:rsidRPr="0043224D">
        <w:rPr>
          <w:rFonts w:ascii="Times New Roman" w:eastAsia="Times New Roman" w:hAnsi="Times New Roman" w:cs="Times New Roman"/>
          <w:sz w:val="24"/>
          <w:szCs w:val="24"/>
        </w:rPr>
        <w:t>Doyle’s</w:t>
      </w:r>
      <w:r w:rsidR="001066E8" w:rsidRPr="0043224D">
        <w:rPr>
          <w:rFonts w:ascii="Times New Roman" w:eastAsia="Times New Roman" w:hAnsi="Times New Roman" w:cs="Times New Roman"/>
          <w:sz w:val="24"/>
          <w:szCs w:val="24"/>
        </w:rPr>
        <w:t>’</w:t>
      </w:r>
      <w:r w:rsidR="00B45298" w:rsidRPr="0043224D">
        <w:rPr>
          <w:rFonts w:ascii="Times New Roman" w:eastAsia="Times New Roman" w:hAnsi="Times New Roman" w:cs="Times New Roman"/>
          <w:sz w:val="24"/>
          <w:szCs w:val="24"/>
        </w:rPr>
        <w:t xml:space="preserve"> phrase</w:t>
      </w:r>
      <w:r w:rsidR="0084020F" w:rsidRPr="0043224D">
        <w:rPr>
          <w:rFonts w:ascii="Times New Roman" w:eastAsia="Times New Roman" w:hAnsi="Times New Roman" w:cs="Times New Roman"/>
          <w:sz w:val="24"/>
          <w:szCs w:val="24"/>
        </w:rPr>
        <w:t xml:space="preserve"> “development aggression” in the context of</w:t>
      </w:r>
      <w:r w:rsidR="00760003" w:rsidRPr="0043224D">
        <w:rPr>
          <w:rFonts w:ascii="Times New Roman" w:eastAsia="Times New Roman" w:hAnsi="Times New Roman" w:cs="Times New Roman"/>
          <w:sz w:val="24"/>
          <w:szCs w:val="24"/>
        </w:rPr>
        <w:t xml:space="preserve"> economic</w:t>
      </w:r>
      <w:r w:rsidR="0084020F" w:rsidRPr="0043224D">
        <w:rPr>
          <w:rFonts w:ascii="Times New Roman" w:eastAsia="Times New Roman" w:hAnsi="Times New Roman" w:cs="Times New Roman"/>
          <w:sz w:val="24"/>
          <w:szCs w:val="24"/>
        </w:rPr>
        <w:t xml:space="preserve"> </w:t>
      </w:r>
      <w:r w:rsidR="00760003" w:rsidRPr="0043224D">
        <w:rPr>
          <w:rFonts w:ascii="Times New Roman" w:eastAsia="Times New Roman" w:hAnsi="Times New Roman" w:cs="Times New Roman"/>
          <w:sz w:val="24"/>
          <w:szCs w:val="24"/>
        </w:rPr>
        <w:t>globalisation and the alliance between corporations and state agents, and the human rights violations which are present as a result of this alliance</w:t>
      </w:r>
      <w:r w:rsidR="0084020F" w:rsidRPr="0043224D">
        <w:rPr>
          <w:rFonts w:ascii="Times New Roman" w:eastAsia="Times New Roman" w:hAnsi="Times New Roman" w:cs="Times New Roman"/>
          <w:sz w:val="24"/>
          <w:szCs w:val="24"/>
        </w:rPr>
        <w:t>.</w:t>
      </w:r>
      <w:r w:rsidR="00875201" w:rsidRPr="0043224D">
        <w:rPr>
          <w:rFonts w:ascii="Times New Roman" w:eastAsia="Times New Roman" w:hAnsi="Times New Roman" w:cs="Times New Roman"/>
          <w:sz w:val="24"/>
          <w:szCs w:val="24"/>
        </w:rPr>
        <w:t xml:space="preserve"> Moreover, however</w:t>
      </w:r>
      <w:r w:rsidR="00760003" w:rsidRPr="0043224D">
        <w:rPr>
          <w:rFonts w:ascii="Times New Roman" w:eastAsia="Times New Roman" w:hAnsi="Times New Roman" w:cs="Times New Roman"/>
          <w:sz w:val="24"/>
          <w:szCs w:val="24"/>
        </w:rPr>
        <w:t xml:space="preserve"> exceptional the case may have been in its egregious human</w:t>
      </w:r>
      <w:r w:rsidR="008B4DCD" w:rsidRPr="0043224D">
        <w:rPr>
          <w:rFonts w:ascii="Times New Roman" w:eastAsia="Times New Roman" w:hAnsi="Times New Roman" w:cs="Times New Roman"/>
          <w:sz w:val="24"/>
          <w:szCs w:val="24"/>
        </w:rPr>
        <w:t xml:space="preserve"> rights abuses </w:t>
      </w:r>
      <w:r w:rsidR="00760003" w:rsidRPr="0043224D">
        <w:rPr>
          <w:rFonts w:ascii="Times New Roman" w:eastAsia="Times New Roman" w:hAnsi="Times New Roman" w:cs="Times New Roman"/>
          <w:sz w:val="24"/>
          <w:szCs w:val="24"/>
        </w:rPr>
        <w:t>it is unfortunately by no means unique</w:t>
      </w:r>
      <w:r w:rsidR="005461A8" w:rsidRPr="0043224D">
        <w:rPr>
          <w:rFonts w:ascii="Times New Roman" w:eastAsia="Times New Roman" w:hAnsi="Times New Roman" w:cs="Times New Roman"/>
          <w:sz w:val="24"/>
          <w:szCs w:val="24"/>
        </w:rPr>
        <w:t xml:space="preserve"> when it comes to</w:t>
      </w:r>
      <w:r w:rsidR="008B4DCD" w:rsidRPr="0043224D">
        <w:rPr>
          <w:rFonts w:ascii="Times New Roman" w:eastAsia="Times New Roman" w:hAnsi="Times New Roman" w:cs="Times New Roman"/>
          <w:sz w:val="24"/>
          <w:szCs w:val="24"/>
        </w:rPr>
        <w:t xml:space="preserve"> the relationship between</w:t>
      </w:r>
      <w:r w:rsidR="005461A8" w:rsidRPr="0043224D">
        <w:rPr>
          <w:rFonts w:ascii="Times New Roman" w:eastAsia="Times New Roman" w:hAnsi="Times New Roman" w:cs="Times New Roman"/>
          <w:sz w:val="24"/>
          <w:szCs w:val="24"/>
        </w:rPr>
        <w:t xml:space="preserve"> oil and gas companies</w:t>
      </w:r>
      <w:r w:rsidR="008B4DCD" w:rsidRPr="0043224D">
        <w:rPr>
          <w:rFonts w:ascii="Times New Roman" w:eastAsia="Times New Roman" w:hAnsi="Times New Roman" w:cs="Times New Roman"/>
          <w:sz w:val="24"/>
          <w:szCs w:val="24"/>
        </w:rPr>
        <w:t xml:space="preserve"> and human rights abuses on the lands of indigenous peoples</w:t>
      </w:r>
      <w:r w:rsidR="005461A8" w:rsidRPr="0043224D">
        <w:rPr>
          <w:rFonts w:ascii="Times New Roman" w:eastAsia="Times New Roman" w:hAnsi="Times New Roman" w:cs="Times New Roman"/>
          <w:sz w:val="24"/>
          <w:szCs w:val="24"/>
        </w:rPr>
        <w:t>.</w:t>
      </w:r>
      <w:r w:rsidR="00970753" w:rsidRPr="0043224D">
        <w:rPr>
          <w:rStyle w:val="FootnoteReference"/>
          <w:rFonts w:ascii="Times New Roman" w:eastAsia="Times New Roman" w:hAnsi="Times New Roman" w:cs="Times New Roman"/>
          <w:sz w:val="24"/>
          <w:szCs w:val="24"/>
        </w:rPr>
        <w:footnoteReference w:id="98"/>
      </w:r>
      <w:r w:rsidR="00760003" w:rsidRPr="0043224D">
        <w:rPr>
          <w:rFonts w:ascii="Times New Roman" w:eastAsia="Times New Roman" w:hAnsi="Times New Roman" w:cs="Times New Roman"/>
          <w:sz w:val="24"/>
          <w:szCs w:val="24"/>
        </w:rPr>
        <w:t xml:space="preserve"> </w:t>
      </w:r>
      <w:r w:rsidR="00A32910" w:rsidRPr="0043224D">
        <w:rPr>
          <w:rFonts w:ascii="Times New Roman" w:eastAsia="Times New Roman" w:hAnsi="Times New Roman" w:cs="Times New Roman"/>
          <w:sz w:val="24"/>
          <w:szCs w:val="24"/>
        </w:rPr>
        <w:t xml:space="preserve">   </w:t>
      </w:r>
      <w:r w:rsidR="009A4A5E" w:rsidRPr="0043224D">
        <w:rPr>
          <w:rFonts w:ascii="Times New Roman" w:eastAsia="Times New Roman" w:hAnsi="Times New Roman" w:cs="Times New Roman"/>
          <w:sz w:val="24"/>
          <w:szCs w:val="24"/>
        </w:rPr>
        <w:t xml:space="preserve">               </w:t>
      </w:r>
    </w:p>
    <w:p w:rsidR="00E428EB" w:rsidRPr="0043224D" w:rsidRDefault="009A4A5E" w:rsidP="00060EEC">
      <w:pPr>
        <w:spacing w:line="360" w:lineRule="auto"/>
        <w:ind w:firstLine="720"/>
        <w:rPr>
          <w:rFonts w:ascii="Times New Roman" w:hAnsi="Times New Roman" w:cs="Times New Roman"/>
          <w:sz w:val="24"/>
          <w:szCs w:val="24"/>
          <w:shd w:val="clear" w:color="auto" w:fill="FFFFFF"/>
        </w:rPr>
      </w:pPr>
      <w:r w:rsidRPr="0043224D">
        <w:rPr>
          <w:rFonts w:ascii="Times New Roman" w:eastAsia="Times New Roman" w:hAnsi="Times New Roman" w:cs="Times New Roman"/>
          <w:sz w:val="24"/>
          <w:szCs w:val="24"/>
        </w:rPr>
        <w:t>Similarly</w:t>
      </w:r>
      <w:r w:rsidR="00970753" w:rsidRPr="0043224D">
        <w:rPr>
          <w:rFonts w:ascii="Times New Roman" w:eastAsia="Times New Roman" w:hAnsi="Times New Roman" w:cs="Times New Roman"/>
          <w:sz w:val="24"/>
          <w:szCs w:val="24"/>
        </w:rPr>
        <w:t xml:space="preserve">, </w:t>
      </w:r>
      <w:r w:rsidRPr="0043224D">
        <w:rPr>
          <w:rFonts w:ascii="Times New Roman" w:hAnsi="Times New Roman" w:cs="Times New Roman"/>
          <w:sz w:val="24"/>
          <w:szCs w:val="24"/>
          <w:shd w:val="clear" w:color="auto" w:fill="FFFFFF"/>
        </w:rPr>
        <w:t>in another high profile case brought under the Alien Tort Claims Act,</w:t>
      </w:r>
      <w:r w:rsidR="00BC4723" w:rsidRPr="0043224D">
        <w:rPr>
          <w:rStyle w:val="FootnoteReference"/>
          <w:rFonts w:ascii="Times New Roman" w:hAnsi="Times New Roman" w:cs="Times New Roman"/>
          <w:sz w:val="24"/>
          <w:szCs w:val="24"/>
          <w:shd w:val="clear" w:color="auto" w:fill="FFFFFF"/>
        </w:rPr>
        <w:footnoteReference w:id="99"/>
      </w:r>
      <w:r w:rsidR="00BC4723" w:rsidRPr="0043224D">
        <w:rPr>
          <w:rFonts w:ascii="Times New Roman" w:eastAsia="Times New Roman" w:hAnsi="Times New Roman" w:cs="Times New Roman"/>
          <w:sz w:val="24"/>
          <w:szCs w:val="24"/>
        </w:rPr>
        <w:t xml:space="preserve"> </w:t>
      </w:r>
      <w:r w:rsidR="00770D61">
        <w:rPr>
          <w:rFonts w:ascii="Times New Roman" w:eastAsia="Times New Roman" w:hAnsi="Times New Roman" w:cs="Times New Roman"/>
          <w:sz w:val="24"/>
          <w:szCs w:val="24"/>
        </w:rPr>
        <w:t xml:space="preserve">and </w:t>
      </w:r>
      <w:r w:rsidR="00BC4723" w:rsidRPr="0043224D">
        <w:rPr>
          <w:rFonts w:ascii="Times New Roman" w:eastAsia="Times New Roman" w:hAnsi="Times New Roman" w:cs="Times New Roman"/>
          <w:sz w:val="24"/>
          <w:szCs w:val="24"/>
        </w:rPr>
        <w:t xml:space="preserve">echoing the Unocal case, </w:t>
      </w:r>
      <w:r w:rsidR="00BC4723" w:rsidRPr="0043224D">
        <w:rPr>
          <w:rStyle w:val="FootnoteReference"/>
          <w:rFonts w:ascii="Times New Roman" w:hAnsi="Times New Roman" w:cs="Times New Roman"/>
          <w:sz w:val="24"/>
          <w:szCs w:val="24"/>
          <w:shd w:val="clear" w:color="auto" w:fill="FFFFFF"/>
        </w:rPr>
        <w:t xml:space="preserve"> </w:t>
      </w:r>
      <w:r w:rsidRPr="0043224D">
        <w:rPr>
          <w:rFonts w:ascii="Times New Roman" w:eastAsia="Times New Roman" w:hAnsi="Times New Roman" w:cs="Times New Roman"/>
          <w:sz w:val="24"/>
          <w:szCs w:val="24"/>
        </w:rPr>
        <w:t xml:space="preserve">Royal Dutch Shell in </w:t>
      </w:r>
      <w:r w:rsidR="00970753" w:rsidRPr="0043224D">
        <w:rPr>
          <w:rFonts w:ascii="Times New Roman" w:eastAsia="Times New Roman" w:hAnsi="Times New Roman" w:cs="Times New Roman"/>
          <w:sz w:val="24"/>
          <w:szCs w:val="24"/>
        </w:rPr>
        <w:t>2009 paid</w:t>
      </w:r>
      <w:r w:rsidRPr="0043224D">
        <w:rPr>
          <w:rFonts w:ascii="Times New Roman" w:eastAsia="Times New Roman" w:hAnsi="Times New Roman" w:cs="Times New Roman"/>
          <w:sz w:val="24"/>
          <w:szCs w:val="24"/>
        </w:rPr>
        <w:t xml:space="preserve"> out $15.5 million to settle a case before trial to a group representing</w:t>
      </w:r>
      <w:r w:rsidR="00523CBE" w:rsidRPr="0043224D">
        <w:rPr>
          <w:rFonts w:ascii="Times New Roman" w:eastAsia="Times New Roman" w:hAnsi="Times New Roman" w:cs="Times New Roman"/>
          <w:sz w:val="24"/>
          <w:szCs w:val="24"/>
        </w:rPr>
        <w:t xml:space="preserve"> </w:t>
      </w:r>
      <w:r w:rsidR="00970753" w:rsidRPr="0043224D">
        <w:rPr>
          <w:rFonts w:ascii="Times New Roman" w:eastAsia="Times New Roman" w:hAnsi="Times New Roman" w:cs="Times New Roman"/>
          <w:sz w:val="24"/>
          <w:szCs w:val="24"/>
        </w:rPr>
        <w:t>a</w:t>
      </w:r>
      <w:r w:rsidRPr="0043224D">
        <w:rPr>
          <w:rFonts w:ascii="Times New Roman" w:eastAsia="Times New Roman" w:hAnsi="Times New Roman" w:cs="Times New Roman"/>
          <w:sz w:val="24"/>
          <w:szCs w:val="24"/>
        </w:rPr>
        <w:t xml:space="preserve"> Nigerian indigenous group</w:t>
      </w:r>
      <w:r w:rsidR="00BC4723" w:rsidRPr="0043224D">
        <w:rPr>
          <w:rFonts w:ascii="Times New Roman" w:eastAsia="Times New Roman" w:hAnsi="Times New Roman" w:cs="Times New Roman"/>
          <w:sz w:val="24"/>
          <w:szCs w:val="24"/>
        </w:rPr>
        <w:t>,</w:t>
      </w:r>
      <w:r w:rsidRPr="0043224D">
        <w:rPr>
          <w:rFonts w:ascii="Times New Roman" w:eastAsia="Times New Roman" w:hAnsi="Times New Roman" w:cs="Times New Roman"/>
          <w:sz w:val="24"/>
          <w:szCs w:val="24"/>
        </w:rPr>
        <w:t xml:space="preserve"> the Ogoni</w:t>
      </w:r>
      <w:r w:rsidR="00BC4723" w:rsidRPr="0043224D">
        <w:rPr>
          <w:rFonts w:ascii="Times New Roman" w:eastAsia="Times New Roman" w:hAnsi="Times New Roman" w:cs="Times New Roman"/>
          <w:sz w:val="24"/>
          <w:szCs w:val="24"/>
        </w:rPr>
        <w:t xml:space="preserve"> people</w:t>
      </w:r>
      <w:r w:rsidR="00BC4723" w:rsidRPr="0043224D">
        <w:rPr>
          <w:rFonts w:ascii="Times New Roman" w:hAnsi="Times New Roman" w:cs="Times New Roman"/>
          <w:sz w:val="24"/>
          <w:szCs w:val="24"/>
          <w:shd w:val="clear" w:color="auto" w:fill="FFFFFF"/>
        </w:rPr>
        <w:t xml:space="preserve">. </w:t>
      </w:r>
      <w:r w:rsidR="008B4DCD" w:rsidRPr="0043224D">
        <w:rPr>
          <w:rFonts w:ascii="Times New Roman" w:hAnsi="Times New Roman" w:cs="Times New Roman"/>
          <w:sz w:val="24"/>
          <w:szCs w:val="24"/>
          <w:shd w:val="clear" w:color="auto" w:fill="FFFFFF"/>
        </w:rPr>
        <w:t>Royal Dutch Shell</w:t>
      </w:r>
      <w:r w:rsidRPr="0043224D">
        <w:rPr>
          <w:rFonts w:ascii="Times New Roman" w:hAnsi="Times New Roman" w:cs="Times New Roman"/>
          <w:sz w:val="24"/>
          <w:szCs w:val="24"/>
          <w:shd w:val="clear" w:color="auto" w:fill="FFFFFF"/>
        </w:rPr>
        <w:t xml:space="preserve"> also was accused of taking part in human rights violations</w:t>
      </w:r>
      <w:r w:rsidR="00BC4723" w:rsidRPr="0043224D">
        <w:rPr>
          <w:rFonts w:ascii="Times New Roman" w:hAnsi="Times New Roman" w:cs="Times New Roman"/>
          <w:sz w:val="24"/>
          <w:szCs w:val="24"/>
          <w:shd w:val="clear" w:color="auto" w:fill="FFFFFF"/>
        </w:rPr>
        <w:t>, although more surreptitiously</w:t>
      </w:r>
      <w:r w:rsidR="00E428EB" w:rsidRPr="0043224D">
        <w:rPr>
          <w:rFonts w:ascii="Times New Roman" w:hAnsi="Times New Roman" w:cs="Times New Roman"/>
          <w:sz w:val="24"/>
          <w:szCs w:val="24"/>
          <w:shd w:val="clear" w:color="auto" w:fill="FFFFFF"/>
        </w:rPr>
        <w:t xml:space="preserve"> than in the Unocal case</w:t>
      </w:r>
      <w:r w:rsidR="00BC4723" w:rsidRPr="0043224D">
        <w:rPr>
          <w:rFonts w:ascii="Times New Roman" w:hAnsi="Times New Roman" w:cs="Times New Roman"/>
          <w:sz w:val="24"/>
          <w:szCs w:val="24"/>
          <w:shd w:val="clear" w:color="auto" w:fill="FFFFFF"/>
        </w:rPr>
        <w:t>,</w:t>
      </w:r>
      <w:r w:rsidRPr="0043224D">
        <w:rPr>
          <w:rFonts w:ascii="Times New Roman" w:hAnsi="Times New Roman" w:cs="Times New Roman"/>
          <w:sz w:val="24"/>
          <w:szCs w:val="24"/>
          <w:shd w:val="clear" w:color="auto" w:fill="FFFFFF"/>
        </w:rPr>
        <w:t xml:space="preserve"> in conjunction with the Nigerian military</w:t>
      </w:r>
      <w:r w:rsidR="00BC4723" w:rsidRPr="0043224D">
        <w:rPr>
          <w:rFonts w:ascii="Times New Roman" w:hAnsi="Times New Roman" w:cs="Times New Roman"/>
          <w:sz w:val="24"/>
          <w:szCs w:val="24"/>
          <w:shd w:val="clear" w:color="auto" w:fill="FFFFFF"/>
        </w:rPr>
        <w:t xml:space="preserve"> against the Ogoni</w:t>
      </w:r>
      <w:r w:rsidRPr="0043224D">
        <w:rPr>
          <w:rFonts w:ascii="Times New Roman" w:hAnsi="Times New Roman" w:cs="Times New Roman"/>
          <w:sz w:val="24"/>
          <w:szCs w:val="24"/>
          <w:shd w:val="clear" w:color="auto" w:fill="FFFFFF"/>
        </w:rPr>
        <w:t>. The case was brought by relatives and friends of Ken Saro-Wiwa who was hanged by the mil</w:t>
      </w:r>
      <w:r w:rsidR="00BC4723" w:rsidRPr="0043224D">
        <w:rPr>
          <w:rFonts w:ascii="Times New Roman" w:hAnsi="Times New Roman" w:cs="Times New Roman"/>
          <w:sz w:val="24"/>
          <w:szCs w:val="24"/>
          <w:shd w:val="clear" w:color="auto" w:fill="FFFFFF"/>
        </w:rPr>
        <w:t>itary regime in Nigeria in 1995</w:t>
      </w:r>
      <w:r w:rsidR="00E428EB" w:rsidRPr="0043224D">
        <w:rPr>
          <w:rFonts w:ascii="Times New Roman" w:hAnsi="Times New Roman" w:cs="Times New Roman"/>
          <w:sz w:val="24"/>
          <w:szCs w:val="24"/>
          <w:shd w:val="clear" w:color="auto" w:fill="FFFFFF"/>
        </w:rPr>
        <w:t>, Shell was accused of collaborating in his execution</w:t>
      </w:r>
      <w:r w:rsidR="00BC4723" w:rsidRPr="0043224D">
        <w:rPr>
          <w:rFonts w:ascii="Times New Roman" w:hAnsi="Times New Roman" w:cs="Times New Roman"/>
          <w:sz w:val="24"/>
          <w:szCs w:val="24"/>
          <w:shd w:val="clear" w:color="auto" w:fill="FFFFFF"/>
        </w:rPr>
        <w:t>.</w:t>
      </w:r>
      <w:r w:rsidRPr="0043224D">
        <w:rPr>
          <w:rFonts w:ascii="Times New Roman" w:hAnsi="Times New Roman" w:cs="Times New Roman"/>
          <w:sz w:val="24"/>
          <w:szCs w:val="24"/>
          <w:shd w:val="clear" w:color="auto" w:fill="FFFFFF"/>
        </w:rPr>
        <w:t xml:space="preserve"> Saro-Wiwa had been protesting Shell’s environmental practices in the Ogoni region of the Nigerian Delta </w:t>
      </w:r>
      <w:r w:rsidR="005461A8" w:rsidRPr="0043224D">
        <w:rPr>
          <w:rFonts w:ascii="Times New Roman" w:hAnsi="Times New Roman" w:cs="Times New Roman"/>
          <w:sz w:val="24"/>
          <w:szCs w:val="24"/>
          <w:shd w:val="clear" w:color="auto" w:fill="FFFFFF"/>
        </w:rPr>
        <w:t>and the effects of those practices on the livelihoods of the Ogoni</w:t>
      </w:r>
      <w:r w:rsidR="00E428EB" w:rsidRPr="0043224D">
        <w:rPr>
          <w:rFonts w:ascii="Times New Roman" w:hAnsi="Times New Roman" w:cs="Times New Roman"/>
          <w:sz w:val="24"/>
          <w:szCs w:val="24"/>
          <w:shd w:val="clear" w:color="auto" w:fill="FFFFFF"/>
        </w:rPr>
        <w:t>, effects which included forced displacement</w:t>
      </w:r>
      <w:r w:rsidR="005461A8" w:rsidRPr="0043224D">
        <w:rPr>
          <w:rFonts w:ascii="Times New Roman" w:hAnsi="Times New Roman" w:cs="Times New Roman"/>
          <w:sz w:val="24"/>
          <w:szCs w:val="24"/>
          <w:shd w:val="clear" w:color="auto" w:fill="FFFFFF"/>
        </w:rPr>
        <w:t>.</w:t>
      </w:r>
      <w:r w:rsidRPr="0043224D">
        <w:rPr>
          <w:rStyle w:val="FootnoteReference"/>
          <w:rFonts w:ascii="Times New Roman" w:hAnsi="Times New Roman" w:cs="Times New Roman"/>
          <w:sz w:val="24"/>
          <w:szCs w:val="24"/>
          <w:shd w:val="clear" w:color="auto" w:fill="FFFFFF"/>
        </w:rPr>
        <w:footnoteReference w:id="100"/>
      </w:r>
      <w:r w:rsidR="00523CBE" w:rsidRPr="0043224D">
        <w:rPr>
          <w:rFonts w:ascii="Times New Roman" w:hAnsi="Times New Roman" w:cs="Times New Roman"/>
          <w:sz w:val="24"/>
          <w:szCs w:val="24"/>
          <w:shd w:val="clear" w:color="auto" w:fill="FFFFFF"/>
        </w:rPr>
        <w:t xml:space="preserve"> </w:t>
      </w:r>
    </w:p>
    <w:p w:rsidR="00060EEC" w:rsidRDefault="00060EEC">
      <w:pPr>
        <w:rPr>
          <w:rFonts w:ascii="Times New Roman" w:eastAsiaTheme="majorEastAsia" w:hAnsi="Times New Roman" w:cstheme="majorBidi"/>
          <w:b/>
          <w:bCs/>
          <w:color w:val="365F91" w:themeColor="accent1" w:themeShade="BF"/>
          <w:sz w:val="36"/>
          <w:szCs w:val="28"/>
        </w:rPr>
      </w:pPr>
      <w:r>
        <w:br w:type="page"/>
      </w:r>
    </w:p>
    <w:p w:rsidR="00FB755C" w:rsidRPr="00D66008" w:rsidRDefault="00D66008" w:rsidP="0043224D">
      <w:pPr>
        <w:pStyle w:val="Heading1"/>
        <w:spacing w:line="360" w:lineRule="auto"/>
      </w:pPr>
      <w:bookmarkStart w:id="23" w:name="_Toc399848356"/>
      <w:r w:rsidRPr="00D66008">
        <w:t xml:space="preserve">Chapter 4 </w:t>
      </w:r>
      <w:r w:rsidR="00850722">
        <w:t>-</w:t>
      </w:r>
      <w:r w:rsidR="00FB755C" w:rsidRPr="00D66008">
        <w:t xml:space="preserve"> </w:t>
      </w:r>
      <w:r w:rsidRPr="00D66008">
        <w:t>The Right not to be</w:t>
      </w:r>
      <w:r w:rsidR="003E34A8">
        <w:t xml:space="preserve"> Forcibly</w:t>
      </w:r>
      <w:r w:rsidRPr="00D66008">
        <w:t xml:space="preserve"> Displaced in</w:t>
      </w:r>
      <w:r w:rsidR="00FB755C" w:rsidRPr="00D66008">
        <w:t xml:space="preserve"> International Law</w:t>
      </w:r>
      <w:bookmarkEnd w:id="23"/>
      <w:r w:rsidR="00FB755C" w:rsidRPr="00D66008">
        <w:t xml:space="preserve"> </w:t>
      </w:r>
    </w:p>
    <w:p w:rsidR="00D66008" w:rsidRPr="00D66008" w:rsidRDefault="009D6EE2" w:rsidP="0043224D">
      <w:pPr>
        <w:pStyle w:val="Heading2"/>
        <w:spacing w:line="360" w:lineRule="auto"/>
      </w:pPr>
      <w:bookmarkStart w:id="24" w:name="_Toc399848357"/>
      <w:r>
        <w:t>4</w:t>
      </w:r>
      <w:r w:rsidR="00D66008" w:rsidRPr="00D66008">
        <w:t>.1 Introduction</w:t>
      </w:r>
      <w:bookmarkEnd w:id="24"/>
    </w:p>
    <w:p w:rsidR="009501BC" w:rsidRPr="0043224D" w:rsidRDefault="00B338F5" w:rsidP="00060EEC">
      <w:pPr>
        <w:autoSpaceDE w:val="0"/>
        <w:autoSpaceDN w:val="0"/>
        <w:adjustRightInd w:val="0"/>
        <w:spacing w:after="0"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 right</w:t>
      </w:r>
      <w:r w:rsidR="00125B79" w:rsidRPr="0043224D">
        <w:rPr>
          <w:rFonts w:ascii="Times New Roman" w:hAnsi="Times New Roman" w:cs="Times New Roman"/>
          <w:sz w:val="24"/>
          <w:szCs w:val="24"/>
        </w:rPr>
        <w:t xml:space="preserve"> of</w:t>
      </w:r>
      <w:r w:rsidR="00484053" w:rsidRPr="0043224D">
        <w:rPr>
          <w:rFonts w:ascii="Times New Roman" w:hAnsi="Times New Roman" w:cs="Times New Roman"/>
          <w:b/>
          <w:i/>
          <w:sz w:val="24"/>
          <w:szCs w:val="24"/>
        </w:rPr>
        <w:t xml:space="preserve"> </w:t>
      </w:r>
      <w:r w:rsidR="00484053" w:rsidRPr="0043224D">
        <w:rPr>
          <w:rFonts w:ascii="Times New Roman" w:hAnsi="Times New Roman" w:cs="Times New Roman"/>
          <w:sz w:val="24"/>
          <w:szCs w:val="24"/>
        </w:rPr>
        <w:t>indigenous peoples</w:t>
      </w:r>
      <w:r w:rsidR="00484053" w:rsidRPr="0043224D">
        <w:rPr>
          <w:rFonts w:ascii="Times New Roman" w:hAnsi="Times New Roman" w:cs="Times New Roman"/>
          <w:b/>
          <w:i/>
          <w:sz w:val="24"/>
          <w:szCs w:val="24"/>
        </w:rPr>
        <w:t xml:space="preserve"> </w:t>
      </w:r>
      <w:r w:rsidRPr="0043224D">
        <w:rPr>
          <w:rFonts w:ascii="Times New Roman" w:hAnsi="Times New Roman" w:cs="Times New Roman"/>
          <w:sz w:val="24"/>
          <w:szCs w:val="24"/>
        </w:rPr>
        <w:t xml:space="preserve">not to be displaced from territories and lands is fundamental to the </w:t>
      </w:r>
      <w:r w:rsidR="00125B79" w:rsidRPr="0043224D">
        <w:rPr>
          <w:rFonts w:ascii="Times New Roman" w:hAnsi="Times New Roman" w:cs="Times New Roman"/>
          <w:sz w:val="24"/>
          <w:szCs w:val="24"/>
        </w:rPr>
        <w:t>underpinning of a range of rights</w:t>
      </w:r>
      <w:r w:rsidR="007A2D25" w:rsidRPr="0043224D">
        <w:rPr>
          <w:rFonts w:ascii="Times New Roman" w:hAnsi="Times New Roman" w:cs="Times New Roman"/>
          <w:sz w:val="24"/>
          <w:szCs w:val="24"/>
        </w:rPr>
        <w:t xml:space="preserve"> and</w:t>
      </w:r>
      <w:r w:rsidR="004C16D9" w:rsidRPr="0043224D">
        <w:rPr>
          <w:rFonts w:ascii="Times New Roman" w:hAnsi="Times New Roman" w:cs="Times New Roman"/>
          <w:sz w:val="24"/>
          <w:szCs w:val="24"/>
        </w:rPr>
        <w:t xml:space="preserve"> </w:t>
      </w:r>
      <w:r w:rsidR="00F71C74" w:rsidRPr="0043224D">
        <w:rPr>
          <w:rFonts w:ascii="Times New Roman" w:hAnsi="Times New Roman" w:cs="Times New Roman"/>
          <w:sz w:val="24"/>
          <w:szCs w:val="24"/>
        </w:rPr>
        <w:t>freedoms which,</w:t>
      </w:r>
      <w:r w:rsidR="004425BD" w:rsidRPr="0043224D">
        <w:rPr>
          <w:rFonts w:ascii="Times New Roman" w:hAnsi="Times New Roman" w:cs="Times New Roman"/>
          <w:sz w:val="24"/>
          <w:szCs w:val="24"/>
        </w:rPr>
        <w:t xml:space="preserve"> this </w:t>
      </w:r>
      <w:r w:rsidR="00770D61">
        <w:rPr>
          <w:rFonts w:ascii="Times New Roman" w:hAnsi="Times New Roman" w:cs="Times New Roman"/>
          <w:sz w:val="24"/>
          <w:szCs w:val="24"/>
        </w:rPr>
        <w:t>paper</w:t>
      </w:r>
      <w:r w:rsidR="004425BD" w:rsidRPr="0043224D">
        <w:rPr>
          <w:rFonts w:ascii="Times New Roman" w:hAnsi="Times New Roman" w:cs="Times New Roman"/>
          <w:sz w:val="24"/>
          <w:szCs w:val="24"/>
        </w:rPr>
        <w:t xml:space="preserve"> argues</w:t>
      </w:r>
      <w:r w:rsidR="00F71C74" w:rsidRPr="0043224D">
        <w:rPr>
          <w:rFonts w:ascii="Times New Roman" w:hAnsi="Times New Roman" w:cs="Times New Roman"/>
          <w:sz w:val="24"/>
          <w:szCs w:val="24"/>
        </w:rPr>
        <w:t>,</w:t>
      </w:r>
      <w:r w:rsidR="00125B79" w:rsidRPr="0043224D">
        <w:rPr>
          <w:rFonts w:ascii="Times New Roman" w:hAnsi="Times New Roman" w:cs="Times New Roman"/>
          <w:sz w:val="24"/>
          <w:szCs w:val="24"/>
        </w:rPr>
        <w:t xml:space="preserve"> are </w:t>
      </w:r>
      <w:r w:rsidR="00125B79" w:rsidRPr="0043224D">
        <w:rPr>
          <w:rFonts w:ascii="Times New Roman" w:hAnsi="Times New Roman" w:cs="Times New Roman"/>
          <w:i/>
          <w:sz w:val="24"/>
          <w:szCs w:val="24"/>
        </w:rPr>
        <w:t>sui generis</w:t>
      </w:r>
      <w:r w:rsidR="00125B79" w:rsidRPr="0043224D">
        <w:rPr>
          <w:rFonts w:ascii="Times New Roman" w:hAnsi="Times New Roman" w:cs="Times New Roman"/>
          <w:sz w:val="24"/>
          <w:szCs w:val="24"/>
        </w:rPr>
        <w:t xml:space="preserve"> to their continuation as distinct cultural </w:t>
      </w:r>
      <w:r w:rsidR="00286614" w:rsidRPr="0043224D">
        <w:rPr>
          <w:rFonts w:ascii="Times New Roman" w:hAnsi="Times New Roman" w:cs="Times New Roman"/>
          <w:sz w:val="24"/>
          <w:szCs w:val="24"/>
        </w:rPr>
        <w:t>collectives</w:t>
      </w:r>
      <w:r w:rsidR="005461A8" w:rsidRPr="0043224D">
        <w:rPr>
          <w:rFonts w:ascii="Times New Roman" w:hAnsi="Times New Roman" w:cs="Times New Roman"/>
          <w:sz w:val="24"/>
          <w:szCs w:val="24"/>
        </w:rPr>
        <w:t>. If</w:t>
      </w:r>
      <w:r w:rsidR="00125B79" w:rsidRPr="0043224D">
        <w:rPr>
          <w:rFonts w:ascii="Times New Roman" w:hAnsi="Times New Roman" w:cs="Times New Roman"/>
          <w:sz w:val="24"/>
          <w:szCs w:val="24"/>
        </w:rPr>
        <w:t xml:space="preserve"> these groups can be arbitrarily displaced to make way for development projects</w:t>
      </w:r>
      <w:r w:rsidR="005461A8" w:rsidRPr="0043224D">
        <w:rPr>
          <w:rFonts w:ascii="Times New Roman" w:hAnsi="Times New Roman" w:cs="Times New Roman"/>
          <w:sz w:val="24"/>
          <w:szCs w:val="24"/>
        </w:rPr>
        <w:t>,</w:t>
      </w:r>
      <w:r w:rsidR="00125B79" w:rsidRPr="0043224D">
        <w:rPr>
          <w:rFonts w:ascii="Times New Roman" w:hAnsi="Times New Roman" w:cs="Times New Roman"/>
          <w:sz w:val="24"/>
          <w:szCs w:val="24"/>
        </w:rPr>
        <w:t xml:space="preserve"> then </w:t>
      </w:r>
      <w:r w:rsidR="00BE3648" w:rsidRPr="0043224D">
        <w:rPr>
          <w:rFonts w:ascii="Times New Roman" w:hAnsi="Times New Roman" w:cs="Times New Roman"/>
          <w:sz w:val="24"/>
          <w:szCs w:val="24"/>
        </w:rPr>
        <w:t>other rights related to their further survival cannot be enjoyed.</w:t>
      </w:r>
      <w:r w:rsidR="004C16D9" w:rsidRPr="0043224D">
        <w:rPr>
          <w:rFonts w:ascii="Times New Roman" w:hAnsi="Times New Roman" w:cs="Times New Roman"/>
          <w:sz w:val="24"/>
          <w:szCs w:val="24"/>
        </w:rPr>
        <w:t xml:space="preserve"> </w:t>
      </w:r>
      <w:r w:rsidR="00484053" w:rsidRPr="0043224D">
        <w:rPr>
          <w:rFonts w:ascii="Times New Roman" w:hAnsi="Times New Roman" w:cs="Times New Roman"/>
          <w:sz w:val="24"/>
          <w:szCs w:val="24"/>
        </w:rPr>
        <w:t xml:space="preserve">Indigenous </w:t>
      </w:r>
      <w:r w:rsidR="006134AC" w:rsidRPr="0043224D">
        <w:rPr>
          <w:rFonts w:ascii="Times New Roman" w:hAnsi="Times New Roman" w:cs="Times New Roman"/>
          <w:sz w:val="24"/>
          <w:szCs w:val="24"/>
        </w:rPr>
        <w:t>peoples</w:t>
      </w:r>
      <w:r w:rsidR="004C16D9" w:rsidRPr="0043224D">
        <w:rPr>
          <w:rFonts w:ascii="Times New Roman" w:hAnsi="Times New Roman" w:cs="Times New Roman"/>
          <w:sz w:val="24"/>
          <w:szCs w:val="24"/>
        </w:rPr>
        <w:t xml:space="preserve"> are </w:t>
      </w:r>
      <w:r w:rsidR="004425BD" w:rsidRPr="0043224D">
        <w:rPr>
          <w:rFonts w:ascii="Times New Roman" w:hAnsi="Times New Roman" w:cs="Times New Roman"/>
          <w:sz w:val="24"/>
          <w:szCs w:val="24"/>
        </w:rPr>
        <w:t>intrinsically</w:t>
      </w:r>
      <w:r w:rsidR="004C16D9" w:rsidRPr="0043224D">
        <w:rPr>
          <w:rFonts w:ascii="Times New Roman" w:hAnsi="Times New Roman" w:cs="Times New Roman"/>
          <w:sz w:val="24"/>
          <w:szCs w:val="24"/>
        </w:rPr>
        <w:t xml:space="preserve"> connected to land</w:t>
      </w:r>
      <w:r w:rsidR="00BE13EF" w:rsidRPr="0043224D">
        <w:rPr>
          <w:rFonts w:ascii="Times New Roman" w:hAnsi="Times New Roman" w:cs="Times New Roman"/>
          <w:sz w:val="24"/>
          <w:szCs w:val="24"/>
        </w:rPr>
        <w:t xml:space="preserve"> and territory</w:t>
      </w:r>
      <w:r w:rsidR="00424983" w:rsidRPr="0043224D">
        <w:rPr>
          <w:rFonts w:ascii="Times New Roman" w:hAnsi="Times New Roman" w:cs="Times New Roman"/>
          <w:sz w:val="24"/>
          <w:szCs w:val="24"/>
        </w:rPr>
        <w:t>;</w:t>
      </w:r>
      <w:r w:rsidR="004C16D9" w:rsidRPr="0043224D">
        <w:rPr>
          <w:rFonts w:ascii="Times New Roman" w:hAnsi="Times New Roman" w:cs="Times New Roman"/>
          <w:sz w:val="24"/>
          <w:szCs w:val="24"/>
        </w:rPr>
        <w:t xml:space="preserve"> their</w:t>
      </w:r>
      <w:r w:rsidR="00424983" w:rsidRPr="0043224D">
        <w:rPr>
          <w:rFonts w:ascii="Times New Roman" w:hAnsi="Times New Roman" w:cs="Times New Roman"/>
          <w:sz w:val="24"/>
          <w:szCs w:val="24"/>
        </w:rPr>
        <w:t xml:space="preserve"> ancestors are buried there, their economic</w:t>
      </w:r>
      <w:r w:rsidR="00BE13EF" w:rsidRPr="0043224D">
        <w:rPr>
          <w:rFonts w:ascii="Times New Roman" w:hAnsi="Times New Roman" w:cs="Times New Roman"/>
          <w:sz w:val="24"/>
          <w:szCs w:val="24"/>
        </w:rPr>
        <w:t xml:space="preserve"> systems and traditional livelihoods </w:t>
      </w:r>
      <w:r w:rsidR="008B4DCD" w:rsidRPr="0043224D">
        <w:rPr>
          <w:rFonts w:ascii="Times New Roman" w:hAnsi="Times New Roman" w:cs="Times New Roman"/>
          <w:sz w:val="24"/>
          <w:szCs w:val="24"/>
        </w:rPr>
        <w:t>are rooted in it;</w:t>
      </w:r>
      <w:r w:rsidR="00BE13EF" w:rsidRPr="0043224D">
        <w:rPr>
          <w:rFonts w:ascii="Times New Roman" w:hAnsi="Times New Roman" w:cs="Times New Roman"/>
          <w:sz w:val="24"/>
          <w:szCs w:val="24"/>
        </w:rPr>
        <w:t xml:space="preserve"> spiritual</w:t>
      </w:r>
      <w:r w:rsidR="00424983" w:rsidRPr="0043224D">
        <w:rPr>
          <w:rFonts w:ascii="Times New Roman" w:hAnsi="Times New Roman" w:cs="Times New Roman"/>
          <w:sz w:val="24"/>
          <w:szCs w:val="24"/>
        </w:rPr>
        <w:t xml:space="preserve"> </w:t>
      </w:r>
      <w:r w:rsidR="004425BD" w:rsidRPr="0043224D">
        <w:rPr>
          <w:rFonts w:ascii="Times New Roman" w:hAnsi="Times New Roman" w:cs="Times New Roman"/>
          <w:sz w:val="24"/>
          <w:szCs w:val="24"/>
        </w:rPr>
        <w:t xml:space="preserve">and economic </w:t>
      </w:r>
      <w:r w:rsidR="00424983" w:rsidRPr="0043224D">
        <w:rPr>
          <w:rFonts w:ascii="Times New Roman" w:hAnsi="Times New Roman" w:cs="Times New Roman"/>
          <w:sz w:val="24"/>
          <w:szCs w:val="24"/>
        </w:rPr>
        <w:t>sustenance</w:t>
      </w:r>
      <w:r w:rsidR="004425BD" w:rsidRPr="0043224D">
        <w:rPr>
          <w:rFonts w:ascii="Times New Roman" w:hAnsi="Times New Roman" w:cs="Times New Roman"/>
          <w:sz w:val="24"/>
          <w:szCs w:val="24"/>
        </w:rPr>
        <w:t xml:space="preserve"> </w:t>
      </w:r>
      <w:r w:rsidR="009501BC" w:rsidRPr="0043224D">
        <w:rPr>
          <w:rFonts w:ascii="Times New Roman" w:hAnsi="Times New Roman" w:cs="Times New Roman"/>
          <w:sz w:val="24"/>
          <w:szCs w:val="24"/>
        </w:rPr>
        <w:t>therefore are deeply entwined. These rights include: the right to culture and a distinct cultural identity,  the right to ancestral lands, the right to practice religious ceremonies, the right to move across state boundaries for the conduct of traditional activities; the right to not to be subjected to forced resettlement, the right to natural resources, and the right to self-governance.</w:t>
      </w:r>
    </w:p>
    <w:p w:rsidR="009501BC" w:rsidRPr="0043224D" w:rsidRDefault="009501BC" w:rsidP="009501BC">
      <w:pPr>
        <w:autoSpaceDE w:val="0"/>
        <w:autoSpaceDN w:val="0"/>
        <w:adjustRightInd w:val="0"/>
        <w:spacing w:after="0" w:line="360" w:lineRule="auto"/>
        <w:rPr>
          <w:rFonts w:ascii="Times New Roman" w:hAnsi="Times New Roman" w:cs="Times New Roman"/>
          <w:sz w:val="24"/>
          <w:szCs w:val="24"/>
        </w:rPr>
      </w:pPr>
    </w:p>
    <w:p w:rsidR="004C16D9" w:rsidRPr="0043224D" w:rsidRDefault="004425BD" w:rsidP="00060EEC">
      <w:pPr>
        <w:autoSpaceDE w:val="0"/>
        <w:autoSpaceDN w:val="0"/>
        <w:adjustRightInd w:val="0"/>
        <w:spacing w:after="0"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All of the above rights are collective rights or group rights.</w:t>
      </w:r>
      <w:r w:rsidR="00F71C74" w:rsidRPr="0043224D">
        <w:rPr>
          <w:rFonts w:ascii="Times New Roman" w:hAnsi="Times New Roman" w:cs="Times New Roman"/>
          <w:sz w:val="24"/>
          <w:szCs w:val="24"/>
        </w:rPr>
        <w:t xml:space="preserve"> </w:t>
      </w:r>
      <w:r w:rsidR="007A2D25" w:rsidRPr="0043224D">
        <w:rPr>
          <w:rFonts w:ascii="Times New Roman" w:hAnsi="Times New Roman" w:cs="Times New Roman"/>
          <w:sz w:val="24"/>
          <w:szCs w:val="24"/>
        </w:rPr>
        <w:t xml:space="preserve">Some are already embedded in international </w:t>
      </w:r>
      <w:r w:rsidR="005631FA" w:rsidRPr="0043224D">
        <w:rPr>
          <w:rFonts w:ascii="Times New Roman" w:hAnsi="Times New Roman" w:cs="Times New Roman"/>
          <w:sz w:val="24"/>
          <w:szCs w:val="24"/>
        </w:rPr>
        <w:t>human rights instruments, such as the right to practice culture and freedom and freedom of conscience and religion,</w:t>
      </w:r>
      <w:r w:rsidR="007A2D25" w:rsidRPr="0043224D">
        <w:rPr>
          <w:rFonts w:ascii="Times New Roman" w:hAnsi="Times New Roman" w:cs="Times New Roman"/>
          <w:sz w:val="24"/>
          <w:szCs w:val="24"/>
        </w:rPr>
        <w:t xml:space="preserve"> while others </w:t>
      </w:r>
      <w:r w:rsidR="007658CC" w:rsidRPr="0043224D">
        <w:rPr>
          <w:rFonts w:ascii="Times New Roman" w:hAnsi="Times New Roman" w:cs="Times New Roman"/>
          <w:sz w:val="24"/>
          <w:szCs w:val="24"/>
        </w:rPr>
        <w:t xml:space="preserve">resemble </w:t>
      </w:r>
      <w:r w:rsidR="007A2D25" w:rsidRPr="0043224D">
        <w:rPr>
          <w:rFonts w:ascii="Times New Roman" w:hAnsi="Times New Roman" w:cs="Times New Roman"/>
          <w:sz w:val="24"/>
          <w:szCs w:val="24"/>
        </w:rPr>
        <w:t xml:space="preserve">normative aspirations. </w:t>
      </w:r>
      <w:r w:rsidRPr="0043224D">
        <w:rPr>
          <w:rFonts w:ascii="Times New Roman" w:hAnsi="Times New Roman" w:cs="Times New Roman"/>
          <w:sz w:val="24"/>
          <w:szCs w:val="24"/>
        </w:rPr>
        <w:t xml:space="preserve"> International law</w:t>
      </w:r>
      <w:r w:rsidR="007A2D25" w:rsidRPr="0043224D">
        <w:rPr>
          <w:rFonts w:ascii="Times New Roman" w:hAnsi="Times New Roman" w:cs="Times New Roman"/>
          <w:sz w:val="24"/>
          <w:szCs w:val="24"/>
        </w:rPr>
        <w:t xml:space="preserve"> however</w:t>
      </w:r>
      <w:r w:rsidRPr="0043224D">
        <w:rPr>
          <w:rFonts w:ascii="Times New Roman" w:hAnsi="Times New Roman" w:cs="Times New Roman"/>
          <w:sz w:val="24"/>
          <w:szCs w:val="24"/>
        </w:rPr>
        <w:t xml:space="preserve"> recognises</w:t>
      </w:r>
      <w:r w:rsidR="007A2D25" w:rsidRPr="0043224D">
        <w:rPr>
          <w:rFonts w:ascii="Times New Roman" w:hAnsi="Times New Roman" w:cs="Times New Roman"/>
          <w:sz w:val="24"/>
          <w:szCs w:val="24"/>
        </w:rPr>
        <w:t xml:space="preserve"> the primacy of</w:t>
      </w:r>
      <w:r w:rsidRPr="0043224D">
        <w:rPr>
          <w:rFonts w:ascii="Times New Roman" w:hAnsi="Times New Roman" w:cs="Times New Roman"/>
          <w:sz w:val="24"/>
          <w:szCs w:val="24"/>
        </w:rPr>
        <w:t xml:space="preserve"> the rights of individual</w:t>
      </w:r>
      <w:r w:rsidR="007A2D25" w:rsidRPr="0043224D">
        <w:rPr>
          <w:rFonts w:ascii="Times New Roman" w:hAnsi="Times New Roman" w:cs="Times New Roman"/>
          <w:sz w:val="24"/>
          <w:szCs w:val="24"/>
        </w:rPr>
        <w:t>s,</w:t>
      </w:r>
      <w:r w:rsidR="007A2D25" w:rsidRPr="0043224D">
        <w:rPr>
          <w:rStyle w:val="FootnoteReference"/>
          <w:rFonts w:ascii="Times New Roman" w:hAnsi="Times New Roman" w:cs="Times New Roman"/>
          <w:sz w:val="24"/>
          <w:szCs w:val="24"/>
        </w:rPr>
        <w:footnoteReference w:id="101"/>
      </w:r>
      <w:r w:rsidRPr="0043224D">
        <w:rPr>
          <w:rFonts w:ascii="Times New Roman" w:hAnsi="Times New Roman" w:cs="Times New Roman"/>
          <w:sz w:val="24"/>
          <w:szCs w:val="24"/>
        </w:rPr>
        <w:t xml:space="preserve"> and</w:t>
      </w:r>
      <w:r w:rsidR="007A2D25" w:rsidRPr="0043224D">
        <w:rPr>
          <w:rFonts w:ascii="Times New Roman" w:hAnsi="Times New Roman" w:cs="Times New Roman"/>
          <w:sz w:val="24"/>
          <w:szCs w:val="24"/>
        </w:rPr>
        <w:t xml:space="preserve"> for the most part</w:t>
      </w:r>
      <w:r w:rsidR="00726DAF" w:rsidRPr="0043224D">
        <w:rPr>
          <w:rFonts w:ascii="Times New Roman" w:hAnsi="Times New Roman" w:cs="Times New Roman"/>
          <w:sz w:val="24"/>
          <w:szCs w:val="24"/>
        </w:rPr>
        <w:t xml:space="preserve"> primarily</w:t>
      </w:r>
      <w:r w:rsidRPr="0043224D">
        <w:rPr>
          <w:rFonts w:ascii="Times New Roman" w:hAnsi="Times New Roman" w:cs="Times New Roman"/>
          <w:sz w:val="24"/>
          <w:szCs w:val="24"/>
        </w:rPr>
        <w:t xml:space="preserve"> establishes obligations on states to respect and guarantee </w:t>
      </w:r>
      <w:r w:rsidR="007A2D25" w:rsidRPr="0043224D">
        <w:rPr>
          <w:rFonts w:ascii="Times New Roman" w:hAnsi="Times New Roman" w:cs="Times New Roman"/>
          <w:sz w:val="24"/>
          <w:szCs w:val="24"/>
        </w:rPr>
        <w:t xml:space="preserve">individual </w:t>
      </w:r>
      <w:r w:rsidRPr="0043224D">
        <w:rPr>
          <w:rFonts w:ascii="Times New Roman" w:hAnsi="Times New Roman" w:cs="Times New Roman"/>
          <w:sz w:val="24"/>
          <w:szCs w:val="24"/>
        </w:rPr>
        <w:t>rights</w:t>
      </w:r>
      <w:r w:rsidR="00DD1538" w:rsidRPr="0043224D">
        <w:rPr>
          <w:rFonts w:ascii="Times New Roman" w:hAnsi="Times New Roman" w:cs="Times New Roman"/>
          <w:sz w:val="24"/>
          <w:szCs w:val="24"/>
        </w:rPr>
        <w:t>. The</w:t>
      </w:r>
      <w:r w:rsidR="00156FB0" w:rsidRPr="0043224D">
        <w:rPr>
          <w:rFonts w:ascii="Times New Roman" w:hAnsi="Times New Roman" w:cs="Times New Roman"/>
          <w:sz w:val="24"/>
          <w:szCs w:val="24"/>
        </w:rPr>
        <w:t xml:space="preserve"> individual is therefore the rights-holder</w:t>
      </w:r>
      <w:r w:rsidR="00726DAF" w:rsidRPr="0043224D">
        <w:rPr>
          <w:rFonts w:ascii="Times New Roman" w:hAnsi="Times New Roman" w:cs="Times New Roman"/>
          <w:sz w:val="24"/>
          <w:szCs w:val="24"/>
        </w:rPr>
        <w:t xml:space="preserve"> and the state is the duty-bearer of rights</w:t>
      </w:r>
      <w:r w:rsidR="00156FB0" w:rsidRPr="0043224D">
        <w:rPr>
          <w:rFonts w:ascii="Times New Roman" w:hAnsi="Times New Roman" w:cs="Times New Roman"/>
          <w:sz w:val="24"/>
          <w:szCs w:val="24"/>
        </w:rPr>
        <w:t xml:space="preserve">. </w:t>
      </w:r>
      <w:r w:rsidRPr="0043224D">
        <w:rPr>
          <w:rFonts w:ascii="Times New Roman" w:hAnsi="Times New Roman" w:cs="Times New Roman"/>
          <w:sz w:val="24"/>
          <w:szCs w:val="24"/>
        </w:rPr>
        <w:t xml:space="preserve"> </w:t>
      </w:r>
      <w:r w:rsidR="005B23F0" w:rsidRPr="0043224D">
        <w:rPr>
          <w:rFonts w:ascii="Times New Roman" w:hAnsi="Times New Roman" w:cs="Times New Roman"/>
          <w:sz w:val="24"/>
          <w:szCs w:val="24"/>
        </w:rPr>
        <w:t>In the con</w:t>
      </w:r>
      <w:r w:rsidR="00484053" w:rsidRPr="0043224D">
        <w:rPr>
          <w:rFonts w:ascii="Times New Roman" w:hAnsi="Times New Roman" w:cs="Times New Roman"/>
          <w:sz w:val="24"/>
          <w:szCs w:val="24"/>
        </w:rPr>
        <w:t>text of group rights and indigenous peoples</w:t>
      </w:r>
      <w:r w:rsidR="005B23F0" w:rsidRPr="0043224D">
        <w:rPr>
          <w:rFonts w:ascii="Times New Roman" w:hAnsi="Times New Roman" w:cs="Times New Roman"/>
          <w:sz w:val="24"/>
          <w:szCs w:val="24"/>
        </w:rPr>
        <w:t>, the</w:t>
      </w:r>
      <w:r w:rsidR="00156FB0" w:rsidRPr="0043224D">
        <w:rPr>
          <w:rFonts w:ascii="Times New Roman" w:hAnsi="Times New Roman" w:cs="Times New Roman"/>
          <w:sz w:val="24"/>
          <w:szCs w:val="24"/>
        </w:rPr>
        <w:t xml:space="preserve"> </w:t>
      </w:r>
      <w:r w:rsidR="00726DAF" w:rsidRPr="0043224D">
        <w:rPr>
          <w:rFonts w:ascii="Times New Roman" w:hAnsi="Times New Roman" w:cs="Times New Roman"/>
          <w:sz w:val="24"/>
          <w:szCs w:val="24"/>
        </w:rPr>
        <w:t>problem</w:t>
      </w:r>
      <w:r w:rsidR="005B23F0" w:rsidRPr="0043224D">
        <w:rPr>
          <w:rFonts w:ascii="Times New Roman" w:hAnsi="Times New Roman" w:cs="Times New Roman"/>
          <w:sz w:val="24"/>
          <w:szCs w:val="24"/>
        </w:rPr>
        <w:t xml:space="preserve"> then arises that they </w:t>
      </w:r>
      <w:r w:rsidR="00156FB0" w:rsidRPr="0043224D">
        <w:rPr>
          <w:rFonts w:ascii="Times New Roman" w:hAnsi="Times New Roman" w:cs="Times New Roman"/>
          <w:sz w:val="24"/>
          <w:szCs w:val="24"/>
        </w:rPr>
        <w:t>are displaced almost invariably as a group,</w:t>
      </w:r>
      <w:r w:rsidR="007A2D25" w:rsidRPr="0043224D">
        <w:rPr>
          <w:rFonts w:ascii="Times New Roman" w:hAnsi="Times New Roman" w:cs="Times New Roman"/>
          <w:sz w:val="24"/>
          <w:szCs w:val="24"/>
        </w:rPr>
        <w:t xml:space="preserve"> either as groups of families or tribes</w:t>
      </w:r>
      <w:r w:rsidR="00DD1538" w:rsidRPr="0043224D">
        <w:rPr>
          <w:rFonts w:ascii="Times New Roman" w:hAnsi="Times New Roman" w:cs="Times New Roman"/>
          <w:sz w:val="24"/>
          <w:szCs w:val="24"/>
        </w:rPr>
        <w:t>. For</w:t>
      </w:r>
      <w:r w:rsidR="00156FB0" w:rsidRPr="0043224D">
        <w:rPr>
          <w:rFonts w:ascii="Times New Roman" w:hAnsi="Times New Roman" w:cs="Times New Roman"/>
          <w:sz w:val="24"/>
          <w:szCs w:val="24"/>
        </w:rPr>
        <w:t xml:space="preserve"> that is h</w:t>
      </w:r>
      <w:r w:rsidR="007A2D25" w:rsidRPr="0043224D">
        <w:rPr>
          <w:rFonts w:ascii="Times New Roman" w:hAnsi="Times New Roman" w:cs="Times New Roman"/>
          <w:sz w:val="24"/>
          <w:szCs w:val="24"/>
        </w:rPr>
        <w:t xml:space="preserve">ow they </w:t>
      </w:r>
      <w:r w:rsidR="003C3453" w:rsidRPr="0043224D">
        <w:rPr>
          <w:rFonts w:ascii="Times New Roman" w:hAnsi="Times New Roman" w:cs="Times New Roman"/>
          <w:sz w:val="24"/>
          <w:szCs w:val="24"/>
        </w:rPr>
        <w:t>subjectively conceive of themselves;</w:t>
      </w:r>
      <w:r w:rsidR="007A2D25" w:rsidRPr="0043224D">
        <w:rPr>
          <w:rFonts w:ascii="Times New Roman" w:hAnsi="Times New Roman" w:cs="Times New Roman"/>
          <w:sz w:val="24"/>
          <w:szCs w:val="24"/>
        </w:rPr>
        <w:t xml:space="preserve"> </w:t>
      </w:r>
      <w:r w:rsidR="003C3453" w:rsidRPr="0043224D">
        <w:rPr>
          <w:rFonts w:ascii="Times New Roman" w:hAnsi="Times New Roman" w:cs="Times New Roman"/>
          <w:sz w:val="24"/>
          <w:szCs w:val="24"/>
        </w:rPr>
        <w:t>and</w:t>
      </w:r>
      <w:r w:rsidR="00E24FE7" w:rsidRPr="0043224D">
        <w:rPr>
          <w:rFonts w:ascii="Times New Roman" w:hAnsi="Times New Roman" w:cs="Times New Roman"/>
          <w:sz w:val="24"/>
          <w:szCs w:val="24"/>
        </w:rPr>
        <w:t xml:space="preserve"> effectively,</w:t>
      </w:r>
      <w:r w:rsidR="003C3453" w:rsidRPr="0043224D">
        <w:rPr>
          <w:rFonts w:ascii="Times New Roman" w:hAnsi="Times New Roman" w:cs="Times New Roman"/>
          <w:sz w:val="24"/>
          <w:szCs w:val="24"/>
        </w:rPr>
        <w:t xml:space="preserve"> that </w:t>
      </w:r>
      <w:r w:rsidR="007658CC" w:rsidRPr="0043224D">
        <w:rPr>
          <w:rFonts w:ascii="Times New Roman" w:hAnsi="Times New Roman" w:cs="Times New Roman"/>
          <w:sz w:val="24"/>
          <w:szCs w:val="24"/>
        </w:rPr>
        <w:t>is how they are displaced by</w:t>
      </w:r>
      <w:r w:rsidR="003C3453" w:rsidRPr="0043224D">
        <w:rPr>
          <w:rFonts w:ascii="Times New Roman" w:hAnsi="Times New Roman" w:cs="Times New Roman"/>
          <w:sz w:val="24"/>
          <w:szCs w:val="24"/>
        </w:rPr>
        <w:t xml:space="preserve"> governments</w:t>
      </w:r>
      <w:r w:rsidR="007A2D25" w:rsidRPr="0043224D">
        <w:rPr>
          <w:rFonts w:ascii="Times New Roman" w:hAnsi="Times New Roman" w:cs="Times New Roman"/>
          <w:sz w:val="24"/>
          <w:szCs w:val="24"/>
        </w:rPr>
        <w:t>.</w:t>
      </w:r>
      <w:r w:rsidR="003C3453" w:rsidRPr="0043224D">
        <w:rPr>
          <w:rFonts w:ascii="Times New Roman" w:hAnsi="Times New Roman" w:cs="Times New Roman"/>
          <w:sz w:val="24"/>
          <w:szCs w:val="24"/>
        </w:rPr>
        <w:t xml:space="preserve"> In looking for protection against arbitrary displacement and effective remedies if displacement takes place, </w:t>
      </w:r>
      <w:r w:rsidR="00E24FE7" w:rsidRPr="0043224D">
        <w:rPr>
          <w:rFonts w:ascii="Times New Roman" w:hAnsi="Times New Roman" w:cs="Times New Roman"/>
          <w:sz w:val="24"/>
          <w:szCs w:val="24"/>
        </w:rPr>
        <w:t xml:space="preserve">there is a substantial framework within the international human rights system that the next section will now turn to in more detail. </w:t>
      </w:r>
      <w:r w:rsidR="007A2D25" w:rsidRPr="0043224D">
        <w:rPr>
          <w:rFonts w:ascii="Times New Roman" w:hAnsi="Times New Roman" w:cs="Times New Roman"/>
          <w:sz w:val="24"/>
          <w:szCs w:val="24"/>
        </w:rPr>
        <w:t xml:space="preserve"> </w:t>
      </w:r>
    </w:p>
    <w:p w:rsidR="00124F18" w:rsidRDefault="009D6EE2" w:rsidP="0043224D">
      <w:pPr>
        <w:pStyle w:val="Heading2"/>
        <w:spacing w:line="360" w:lineRule="auto"/>
      </w:pPr>
      <w:bookmarkStart w:id="25" w:name="_Toc399848358"/>
      <w:r>
        <w:t>4</w:t>
      </w:r>
      <w:r w:rsidR="00D66008" w:rsidRPr="00D66008">
        <w:t>.2</w:t>
      </w:r>
      <w:r w:rsidR="00D66008">
        <w:t xml:space="preserve"> </w:t>
      </w:r>
      <w:r w:rsidR="00D66008" w:rsidRPr="0052620D">
        <w:t>General</w:t>
      </w:r>
      <w:r w:rsidR="00176FB8" w:rsidRPr="0052620D">
        <w:t xml:space="preserve"> Sources in International Law</w:t>
      </w:r>
      <w:bookmarkEnd w:id="25"/>
    </w:p>
    <w:p w:rsidR="002C4040" w:rsidRPr="0043224D" w:rsidRDefault="00E24FE7" w:rsidP="00060EEC">
      <w:pPr>
        <w:spacing w:line="360" w:lineRule="auto"/>
        <w:ind w:firstLine="720"/>
        <w:rPr>
          <w:rFonts w:ascii="Times New Roman" w:hAnsi="Times New Roman" w:cs="Times New Roman"/>
          <w:sz w:val="24"/>
          <w:szCs w:val="24"/>
        </w:rPr>
      </w:pPr>
      <w:r w:rsidRPr="00121A8B">
        <w:rPr>
          <w:rFonts w:ascii="Times New Roman" w:hAnsi="Times New Roman" w:cs="Times New Roman"/>
          <w:sz w:val="24"/>
          <w:szCs w:val="24"/>
        </w:rPr>
        <w:t>There are several</w:t>
      </w:r>
      <w:r w:rsidR="00521918" w:rsidRPr="00121A8B">
        <w:rPr>
          <w:rFonts w:ascii="Times New Roman" w:hAnsi="Times New Roman" w:cs="Times New Roman"/>
          <w:sz w:val="24"/>
          <w:szCs w:val="24"/>
        </w:rPr>
        <w:t xml:space="preserve"> </w:t>
      </w:r>
      <w:r w:rsidR="002E1BA2" w:rsidRPr="00121A8B">
        <w:rPr>
          <w:rFonts w:ascii="Times New Roman" w:hAnsi="Times New Roman" w:cs="Times New Roman"/>
          <w:sz w:val="24"/>
          <w:szCs w:val="24"/>
        </w:rPr>
        <w:t>significant</w:t>
      </w:r>
      <w:r w:rsidR="00521918" w:rsidRPr="00121A8B">
        <w:rPr>
          <w:rFonts w:ascii="Times New Roman" w:hAnsi="Times New Roman" w:cs="Times New Roman"/>
          <w:sz w:val="24"/>
          <w:szCs w:val="24"/>
        </w:rPr>
        <w:t xml:space="preserve"> </w:t>
      </w:r>
      <w:r w:rsidRPr="00121A8B">
        <w:rPr>
          <w:rFonts w:ascii="Times New Roman" w:hAnsi="Times New Roman" w:cs="Times New Roman"/>
          <w:sz w:val="24"/>
          <w:szCs w:val="24"/>
        </w:rPr>
        <w:t xml:space="preserve">international norms directly concerning indigenous peoples in respect of international law. </w:t>
      </w:r>
      <w:r w:rsidR="00BE167C" w:rsidRPr="00121A8B">
        <w:rPr>
          <w:rFonts w:ascii="Times New Roman" w:hAnsi="Times New Roman" w:cs="Times New Roman"/>
          <w:sz w:val="24"/>
          <w:szCs w:val="24"/>
        </w:rPr>
        <w:t>They</w:t>
      </w:r>
      <w:r w:rsidR="00BE167C" w:rsidRPr="0043224D">
        <w:rPr>
          <w:rFonts w:ascii="Times New Roman" w:hAnsi="Times New Roman" w:cs="Times New Roman"/>
          <w:sz w:val="24"/>
          <w:szCs w:val="24"/>
        </w:rPr>
        <w:t xml:space="preserve"> are, a</w:t>
      </w:r>
      <w:r w:rsidRPr="0043224D">
        <w:rPr>
          <w:rFonts w:ascii="Times New Roman" w:hAnsi="Times New Roman" w:cs="Times New Roman"/>
          <w:sz w:val="24"/>
          <w:szCs w:val="24"/>
        </w:rPr>
        <w:t>s enumerated by</w:t>
      </w:r>
      <w:r w:rsidR="00521918" w:rsidRPr="0043224D">
        <w:rPr>
          <w:rFonts w:ascii="Times New Roman" w:hAnsi="Times New Roman" w:cs="Times New Roman"/>
          <w:sz w:val="24"/>
          <w:szCs w:val="24"/>
        </w:rPr>
        <w:t xml:space="preserve"> </w:t>
      </w:r>
      <w:r w:rsidR="00614502" w:rsidRPr="0043224D">
        <w:rPr>
          <w:rFonts w:ascii="Times New Roman" w:hAnsi="Times New Roman" w:cs="Times New Roman"/>
          <w:sz w:val="24"/>
          <w:szCs w:val="24"/>
        </w:rPr>
        <w:t xml:space="preserve">James Anaya, </w:t>
      </w:r>
      <w:r w:rsidR="00521918" w:rsidRPr="0043224D">
        <w:rPr>
          <w:rFonts w:ascii="Times New Roman" w:hAnsi="Times New Roman" w:cs="Times New Roman"/>
          <w:sz w:val="24"/>
          <w:szCs w:val="24"/>
        </w:rPr>
        <w:t>the former UN’s special Rapporteur on the r</w:t>
      </w:r>
      <w:bookmarkStart w:id="26" w:name="_GoBack"/>
      <w:bookmarkEnd w:id="26"/>
      <w:r w:rsidR="00521918" w:rsidRPr="0043224D">
        <w:rPr>
          <w:rFonts w:ascii="Times New Roman" w:hAnsi="Times New Roman" w:cs="Times New Roman"/>
          <w:sz w:val="24"/>
          <w:szCs w:val="24"/>
        </w:rPr>
        <w:t>ights of indigenous peoples</w:t>
      </w:r>
      <w:r w:rsidR="00614502" w:rsidRPr="0043224D">
        <w:rPr>
          <w:rFonts w:ascii="Times New Roman" w:hAnsi="Times New Roman" w:cs="Times New Roman"/>
          <w:sz w:val="24"/>
          <w:szCs w:val="24"/>
        </w:rPr>
        <w:t>:</w:t>
      </w:r>
      <w:r w:rsidRPr="0043224D">
        <w:rPr>
          <w:rFonts w:ascii="Times New Roman" w:hAnsi="Times New Roman" w:cs="Times New Roman"/>
          <w:sz w:val="24"/>
          <w:szCs w:val="24"/>
        </w:rPr>
        <w:t xml:space="preserve"> non-discrimination, self-determination, social welfare and development, self-government, cultural integrity</w:t>
      </w:r>
      <w:r w:rsidR="00521918" w:rsidRPr="0043224D">
        <w:rPr>
          <w:rFonts w:ascii="Times New Roman" w:hAnsi="Times New Roman" w:cs="Times New Roman"/>
          <w:sz w:val="24"/>
          <w:szCs w:val="24"/>
        </w:rPr>
        <w:t>,</w:t>
      </w:r>
      <w:r w:rsidRPr="0043224D">
        <w:rPr>
          <w:rFonts w:ascii="Times New Roman" w:hAnsi="Times New Roman" w:cs="Times New Roman"/>
          <w:sz w:val="24"/>
          <w:szCs w:val="24"/>
        </w:rPr>
        <w:t xml:space="preserve"> and land and resources.</w:t>
      </w:r>
      <w:r w:rsidRPr="0043224D">
        <w:rPr>
          <w:rStyle w:val="FootnoteReference"/>
          <w:rFonts w:ascii="Times New Roman" w:hAnsi="Times New Roman" w:cs="Times New Roman"/>
          <w:sz w:val="24"/>
          <w:szCs w:val="24"/>
        </w:rPr>
        <w:footnoteReference w:id="102"/>
      </w:r>
      <w:r w:rsidRPr="0043224D">
        <w:rPr>
          <w:rFonts w:ascii="Times New Roman" w:hAnsi="Times New Roman" w:cs="Times New Roman"/>
          <w:sz w:val="24"/>
          <w:szCs w:val="24"/>
        </w:rPr>
        <w:t xml:space="preserve"> </w:t>
      </w:r>
      <w:r w:rsidR="00521918" w:rsidRPr="0043224D">
        <w:rPr>
          <w:rFonts w:ascii="Times New Roman" w:hAnsi="Times New Roman" w:cs="Times New Roman"/>
          <w:sz w:val="24"/>
          <w:szCs w:val="24"/>
        </w:rPr>
        <w:t>The final</w:t>
      </w:r>
      <w:r w:rsidR="002E1BA2" w:rsidRPr="0043224D">
        <w:rPr>
          <w:rFonts w:ascii="Times New Roman" w:hAnsi="Times New Roman" w:cs="Times New Roman"/>
          <w:sz w:val="24"/>
          <w:szCs w:val="24"/>
        </w:rPr>
        <w:t xml:space="preserve"> two</w:t>
      </w:r>
      <w:r w:rsidR="00521918" w:rsidRPr="0043224D">
        <w:rPr>
          <w:rFonts w:ascii="Times New Roman" w:hAnsi="Times New Roman" w:cs="Times New Roman"/>
          <w:sz w:val="24"/>
          <w:szCs w:val="24"/>
        </w:rPr>
        <w:t xml:space="preserve"> norm</w:t>
      </w:r>
      <w:r w:rsidR="002E1BA2" w:rsidRPr="0043224D">
        <w:rPr>
          <w:rFonts w:ascii="Times New Roman" w:hAnsi="Times New Roman" w:cs="Times New Roman"/>
          <w:sz w:val="24"/>
          <w:szCs w:val="24"/>
        </w:rPr>
        <w:t>s</w:t>
      </w:r>
      <w:r w:rsidR="00521918" w:rsidRPr="0043224D">
        <w:rPr>
          <w:rFonts w:ascii="Times New Roman" w:hAnsi="Times New Roman" w:cs="Times New Roman"/>
          <w:sz w:val="24"/>
          <w:szCs w:val="24"/>
        </w:rPr>
        <w:t xml:space="preserve"> in</w:t>
      </w:r>
      <w:r w:rsidR="002E1BA2" w:rsidRPr="0043224D">
        <w:rPr>
          <w:rFonts w:ascii="Times New Roman" w:hAnsi="Times New Roman" w:cs="Times New Roman"/>
          <w:sz w:val="24"/>
          <w:szCs w:val="24"/>
        </w:rPr>
        <w:t xml:space="preserve"> particular in</w:t>
      </w:r>
      <w:r w:rsidR="00521918" w:rsidRPr="0043224D">
        <w:rPr>
          <w:rFonts w:ascii="Times New Roman" w:hAnsi="Times New Roman" w:cs="Times New Roman"/>
          <w:sz w:val="24"/>
          <w:szCs w:val="24"/>
        </w:rPr>
        <w:t xml:space="preserve"> Anaya’</w:t>
      </w:r>
      <w:r w:rsidR="007F7981" w:rsidRPr="0043224D">
        <w:rPr>
          <w:rFonts w:ascii="Times New Roman" w:hAnsi="Times New Roman" w:cs="Times New Roman"/>
          <w:sz w:val="24"/>
          <w:szCs w:val="24"/>
        </w:rPr>
        <w:t>s list are</w:t>
      </w:r>
      <w:r w:rsidR="00521918" w:rsidRPr="0043224D">
        <w:rPr>
          <w:rFonts w:ascii="Times New Roman" w:hAnsi="Times New Roman" w:cs="Times New Roman"/>
          <w:sz w:val="24"/>
          <w:szCs w:val="24"/>
        </w:rPr>
        <w:t xml:space="preserve"> of </w:t>
      </w:r>
      <w:r w:rsidR="002E1BA2" w:rsidRPr="0043224D">
        <w:rPr>
          <w:rFonts w:ascii="Times New Roman" w:hAnsi="Times New Roman" w:cs="Times New Roman"/>
          <w:sz w:val="24"/>
          <w:szCs w:val="24"/>
        </w:rPr>
        <w:t xml:space="preserve">critical </w:t>
      </w:r>
      <w:r w:rsidR="00521918" w:rsidRPr="0043224D">
        <w:rPr>
          <w:rFonts w:ascii="Times New Roman" w:hAnsi="Times New Roman" w:cs="Times New Roman"/>
          <w:sz w:val="24"/>
          <w:szCs w:val="24"/>
        </w:rPr>
        <w:t xml:space="preserve">importance to </w:t>
      </w:r>
      <w:r w:rsidR="002E1BA2" w:rsidRPr="0043224D">
        <w:rPr>
          <w:rFonts w:ascii="Times New Roman" w:hAnsi="Times New Roman" w:cs="Times New Roman"/>
          <w:sz w:val="24"/>
          <w:szCs w:val="24"/>
        </w:rPr>
        <w:t>the question</w:t>
      </w:r>
      <w:r w:rsidR="00521918" w:rsidRPr="0043224D">
        <w:rPr>
          <w:rFonts w:ascii="Times New Roman" w:hAnsi="Times New Roman" w:cs="Times New Roman"/>
          <w:sz w:val="24"/>
          <w:szCs w:val="24"/>
        </w:rPr>
        <w:t xml:space="preserve"> of</w:t>
      </w:r>
      <w:r w:rsidR="002E1BA2" w:rsidRPr="0043224D">
        <w:rPr>
          <w:rFonts w:ascii="Times New Roman" w:hAnsi="Times New Roman" w:cs="Times New Roman"/>
          <w:sz w:val="24"/>
          <w:szCs w:val="24"/>
        </w:rPr>
        <w:t xml:space="preserve"> examining </w:t>
      </w:r>
      <w:r w:rsidR="00521918" w:rsidRPr="0043224D">
        <w:rPr>
          <w:rFonts w:ascii="Times New Roman" w:hAnsi="Times New Roman" w:cs="Times New Roman"/>
          <w:sz w:val="24"/>
          <w:szCs w:val="24"/>
        </w:rPr>
        <w:t>whether there is a right not to be displaced in international law</w:t>
      </w:r>
      <w:r w:rsidR="007F7981" w:rsidRPr="0043224D">
        <w:rPr>
          <w:rFonts w:ascii="Times New Roman" w:hAnsi="Times New Roman" w:cs="Times New Roman"/>
          <w:sz w:val="24"/>
          <w:szCs w:val="24"/>
        </w:rPr>
        <w:t xml:space="preserve"> in regards to</w:t>
      </w:r>
      <w:r w:rsidR="002E1BA2" w:rsidRPr="0043224D">
        <w:rPr>
          <w:rFonts w:ascii="Times New Roman" w:hAnsi="Times New Roman" w:cs="Times New Roman"/>
          <w:sz w:val="24"/>
          <w:szCs w:val="24"/>
        </w:rPr>
        <w:t xml:space="preserve"> development projects</w:t>
      </w:r>
      <w:r w:rsidR="00521918" w:rsidRPr="0043224D">
        <w:rPr>
          <w:rFonts w:ascii="Times New Roman" w:hAnsi="Times New Roman" w:cs="Times New Roman"/>
          <w:sz w:val="24"/>
          <w:szCs w:val="24"/>
        </w:rPr>
        <w:t>.</w:t>
      </w:r>
      <w:r w:rsidR="002E1BA2" w:rsidRPr="0043224D">
        <w:rPr>
          <w:rFonts w:ascii="Times New Roman" w:hAnsi="Times New Roman" w:cs="Times New Roman"/>
          <w:sz w:val="24"/>
          <w:szCs w:val="24"/>
        </w:rPr>
        <w:t xml:space="preserve"> </w:t>
      </w:r>
    </w:p>
    <w:p w:rsidR="006E018F" w:rsidRPr="0043224D" w:rsidRDefault="000B6656" w:rsidP="00060EEC">
      <w:pPr>
        <w:spacing w:line="360" w:lineRule="auto"/>
        <w:ind w:firstLine="720"/>
        <w:rPr>
          <w:rFonts w:ascii="Times New Roman" w:hAnsi="Times New Roman" w:cs="Times New Roman"/>
          <w:color w:val="000000"/>
          <w:sz w:val="24"/>
          <w:szCs w:val="24"/>
          <w:shd w:val="clear" w:color="auto" w:fill="FFFFFF"/>
        </w:rPr>
      </w:pPr>
      <w:r w:rsidRPr="0043224D">
        <w:rPr>
          <w:rFonts w:ascii="Times New Roman" w:hAnsi="Times New Roman" w:cs="Times New Roman"/>
          <w:sz w:val="24"/>
          <w:szCs w:val="24"/>
        </w:rPr>
        <w:t>Several international</w:t>
      </w:r>
      <w:r w:rsidR="003646B8" w:rsidRPr="0043224D">
        <w:rPr>
          <w:rFonts w:ascii="Times New Roman" w:hAnsi="Times New Roman" w:cs="Times New Roman"/>
          <w:sz w:val="24"/>
          <w:szCs w:val="24"/>
        </w:rPr>
        <w:t xml:space="preserve"> and regional</w:t>
      </w:r>
      <w:r w:rsidRPr="0043224D">
        <w:rPr>
          <w:rFonts w:ascii="Times New Roman" w:hAnsi="Times New Roman" w:cs="Times New Roman"/>
          <w:sz w:val="24"/>
          <w:szCs w:val="24"/>
        </w:rPr>
        <w:t xml:space="preserve"> human rights instruments are of</w:t>
      </w:r>
      <w:r w:rsidR="007658CC" w:rsidRPr="0043224D">
        <w:rPr>
          <w:rFonts w:ascii="Times New Roman" w:hAnsi="Times New Roman" w:cs="Times New Roman"/>
          <w:sz w:val="24"/>
          <w:szCs w:val="24"/>
        </w:rPr>
        <w:t xml:space="preserve"> </w:t>
      </w:r>
      <w:r w:rsidRPr="0043224D">
        <w:rPr>
          <w:rFonts w:ascii="Times New Roman" w:hAnsi="Times New Roman" w:cs="Times New Roman"/>
          <w:sz w:val="24"/>
          <w:szCs w:val="24"/>
        </w:rPr>
        <w:t>significance, if indirectly, to indigenous peoples displacement. The preambular language of the U</w:t>
      </w:r>
      <w:r w:rsidR="005F32FA" w:rsidRPr="0043224D">
        <w:rPr>
          <w:rFonts w:ascii="Times New Roman" w:hAnsi="Times New Roman" w:cs="Times New Roman"/>
          <w:sz w:val="24"/>
          <w:szCs w:val="24"/>
        </w:rPr>
        <w:t xml:space="preserve">nited Nations </w:t>
      </w:r>
      <w:r w:rsidRPr="0043224D">
        <w:rPr>
          <w:rFonts w:ascii="Times New Roman" w:hAnsi="Times New Roman" w:cs="Times New Roman"/>
          <w:sz w:val="24"/>
          <w:szCs w:val="24"/>
        </w:rPr>
        <w:t xml:space="preserve">Declaration </w:t>
      </w:r>
      <w:r w:rsidR="00E401EA" w:rsidRPr="0043224D">
        <w:rPr>
          <w:rFonts w:ascii="Times New Roman" w:hAnsi="Times New Roman" w:cs="Times New Roman"/>
          <w:sz w:val="24"/>
          <w:szCs w:val="24"/>
        </w:rPr>
        <w:t>of Human Rights</w:t>
      </w:r>
      <w:r w:rsidR="005F32FA" w:rsidRPr="0043224D">
        <w:rPr>
          <w:rFonts w:ascii="Times New Roman" w:hAnsi="Times New Roman" w:cs="Times New Roman"/>
          <w:sz w:val="24"/>
          <w:szCs w:val="24"/>
        </w:rPr>
        <w:t xml:space="preserve"> (</w:t>
      </w:r>
      <w:r w:rsidR="00BE167C" w:rsidRPr="0043224D">
        <w:rPr>
          <w:rFonts w:ascii="Times New Roman" w:hAnsi="Times New Roman" w:cs="Times New Roman"/>
          <w:sz w:val="24"/>
          <w:szCs w:val="24"/>
        </w:rPr>
        <w:t xml:space="preserve">hereafter </w:t>
      </w:r>
      <w:r w:rsidR="005F32FA" w:rsidRPr="0043224D">
        <w:rPr>
          <w:rFonts w:ascii="Times New Roman" w:hAnsi="Times New Roman" w:cs="Times New Roman"/>
          <w:sz w:val="24"/>
          <w:szCs w:val="24"/>
        </w:rPr>
        <w:t>UNDHR)</w:t>
      </w:r>
      <w:r w:rsidR="00E401EA" w:rsidRPr="0043224D">
        <w:rPr>
          <w:rFonts w:ascii="Times New Roman" w:hAnsi="Times New Roman" w:cs="Times New Roman"/>
          <w:sz w:val="24"/>
          <w:szCs w:val="24"/>
        </w:rPr>
        <w:t>, although understood as applying to the individual,</w:t>
      </w:r>
      <w:r w:rsidRPr="0043224D">
        <w:rPr>
          <w:rFonts w:ascii="Times New Roman" w:hAnsi="Times New Roman" w:cs="Times New Roman"/>
          <w:sz w:val="24"/>
          <w:szCs w:val="24"/>
        </w:rPr>
        <w:t xml:space="preserve"> </w:t>
      </w:r>
      <w:r w:rsidR="00E401EA" w:rsidRPr="0043224D">
        <w:rPr>
          <w:rFonts w:ascii="Times New Roman" w:hAnsi="Times New Roman" w:cs="Times New Roman"/>
          <w:sz w:val="24"/>
          <w:szCs w:val="24"/>
        </w:rPr>
        <w:t>recognises the “inherent dignity” and the, “worth of the</w:t>
      </w:r>
      <w:r w:rsidR="003646B8" w:rsidRPr="0043224D">
        <w:rPr>
          <w:rFonts w:ascii="Times New Roman" w:hAnsi="Times New Roman" w:cs="Times New Roman"/>
          <w:sz w:val="24"/>
          <w:szCs w:val="24"/>
        </w:rPr>
        <w:t xml:space="preserve"> human</w:t>
      </w:r>
      <w:r w:rsidR="00E401EA" w:rsidRPr="0043224D">
        <w:rPr>
          <w:rFonts w:ascii="Times New Roman" w:hAnsi="Times New Roman" w:cs="Times New Roman"/>
          <w:sz w:val="24"/>
          <w:szCs w:val="24"/>
        </w:rPr>
        <w:t xml:space="preserve"> person”.</w:t>
      </w:r>
      <w:r w:rsidR="00E401EA" w:rsidRPr="0043224D">
        <w:rPr>
          <w:rStyle w:val="FootnoteReference"/>
          <w:rFonts w:ascii="Times New Roman" w:hAnsi="Times New Roman" w:cs="Times New Roman"/>
          <w:sz w:val="24"/>
          <w:szCs w:val="24"/>
        </w:rPr>
        <w:footnoteReference w:id="103"/>
      </w:r>
      <w:r w:rsidR="00E401EA" w:rsidRPr="0043224D">
        <w:rPr>
          <w:rFonts w:ascii="Times New Roman" w:hAnsi="Times New Roman" w:cs="Times New Roman"/>
          <w:sz w:val="24"/>
          <w:szCs w:val="24"/>
        </w:rPr>
        <w:t xml:space="preserve"> </w:t>
      </w:r>
      <w:r w:rsidR="005F32FA" w:rsidRPr="0043224D">
        <w:rPr>
          <w:rFonts w:ascii="Times New Roman" w:hAnsi="Times New Roman" w:cs="Times New Roman"/>
          <w:sz w:val="24"/>
          <w:szCs w:val="24"/>
        </w:rPr>
        <w:t>The UNDHR also sets forth procedural and substantive rights, for instance in Article 8, “everyone has the right to an effective remedy…”</w:t>
      </w:r>
      <w:r w:rsidR="005F32FA" w:rsidRPr="0043224D">
        <w:rPr>
          <w:rStyle w:val="FootnoteReference"/>
          <w:rFonts w:ascii="Times New Roman" w:hAnsi="Times New Roman" w:cs="Times New Roman"/>
          <w:sz w:val="24"/>
          <w:szCs w:val="24"/>
        </w:rPr>
        <w:footnoteReference w:id="104"/>
      </w:r>
      <w:r w:rsidR="005F32FA" w:rsidRPr="0043224D">
        <w:rPr>
          <w:rFonts w:ascii="Times New Roman" w:hAnsi="Times New Roman" w:cs="Times New Roman"/>
          <w:sz w:val="24"/>
          <w:szCs w:val="24"/>
        </w:rPr>
        <w:t xml:space="preserve"> and in Article 17 (2), “</w:t>
      </w:r>
      <w:r w:rsidR="005F32FA" w:rsidRPr="0043224D">
        <w:rPr>
          <w:rFonts w:ascii="Times New Roman" w:hAnsi="Times New Roman" w:cs="Times New Roman"/>
          <w:sz w:val="24"/>
          <w:szCs w:val="24"/>
          <w:shd w:val="clear" w:color="auto" w:fill="FFFFFF"/>
        </w:rPr>
        <w:t>No one shall be arbitrarily deprived of his property.”</w:t>
      </w:r>
      <w:r w:rsidR="005F32FA" w:rsidRPr="0043224D">
        <w:rPr>
          <w:rStyle w:val="FootnoteReference"/>
          <w:rFonts w:ascii="Times New Roman" w:hAnsi="Times New Roman" w:cs="Times New Roman"/>
          <w:sz w:val="24"/>
          <w:szCs w:val="24"/>
          <w:shd w:val="clear" w:color="auto" w:fill="FFFFFF"/>
        </w:rPr>
        <w:footnoteReference w:id="105"/>
      </w:r>
      <w:r w:rsidR="005F32FA" w:rsidRPr="0043224D">
        <w:rPr>
          <w:rFonts w:ascii="Times New Roman" w:hAnsi="Times New Roman" w:cs="Times New Roman"/>
          <w:sz w:val="24"/>
          <w:szCs w:val="24"/>
          <w:shd w:val="clear" w:color="auto" w:fill="FFFFFF"/>
        </w:rPr>
        <w:t xml:space="preserve"> In </w:t>
      </w:r>
      <w:r w:rsidR="00354E6B" w:rsidRPr="0043224D">
        <w:rPr>
          <w:rFonts w:ascii="Times New Roman" w:hAnsi="Times New Roman" w:cs="Times New Roman"/>
          <w:sz w:val="24"/>
          <w:szCs w:val="24"/>
          <w:shd w:val="clear" w:color="auto" w:fill="FFFFFF"/>
        </w:rPr>
        <w:t>later international instruments</w:t>
      </w:r>
      <w:r w:rsidR="005F32FA" w:rsidRPr="0043224D">
        <w:rPr>
          <w:rFonts w:ascii="Times New Roman" w:hAnsi="Times New Roman" w:cs="Times New Roman"/>
          <w:sz w:val="24"/>
          <w:szCs w:val="24"/>
          <w:shd w:val="clear" w:color="auto" w:fill="FFFFFF"/>
        </w:rPr>
        <w:t xml:space="preserve">, </w:t>
      </w:r>
      <w:r w:rsidR="00EA7925" w:rsidRPr="0043224D">
        <w:rPr>
          <w:rFonts w:ascii="Times New Roman" w:hAnsi="Times New Roman" w:cs="Times New Roman"/>
          <w:sz w:val="24"/>
          <w:szCs w:val="24"/>
          <w:shd w:val="clear" w:color="auto" w:fill="FFFFFF"/>
        </w:rPr>
        <w:t>definite</w:t>
      </w:r>
      <w:r w:rsidR="00083118" w:rsidRPr="0043224D">
        <w:rPr>
          <w:rFonts w:ascii="Times New Roman" w:hAnsi="Times New Roman" w:cs="Times New Roman"/>
          <w:sz w:val="24"/>
          <w:szCs w:val="24"/>
          <w:shd w:val="clear" w:color="auto" w:fill="FFFFFF"/>
        </w:rPr>
        <w:t xml:space="preserve"> </w:t>
      </w:r>
      <w:r w:rsidR="005F32FA" w:rsidRPr="0043224D">
        <w:rPr>
          <w:rFonts w:ascii="Times New Roman" w:hAnsi="Times New Roman" w:cs="Times New Roman"/>
          <w:sz w:val="24"/>
          <w:szCs w:val="24"/>
          <w:shd w:val="clear" w:color="auto" w:fill="FFFFFF"/>
        </w:rPr>
        <w:t xml:space="preserve">human rights </w:t>
      </w:r>
      <w:r w:rsidR="00083118" w:rsidRPr="0043224D">
        <w:rPr>
          <w:rFonts w:ascii="Times New Roman" w:hAnsi="Times New Roman" w:cs="Times New Roman"/>
          <w:sz w:val="24"/>
          <w:szCs w:val="24"/>
          <w:shd w:val="clear" w:color="auto" w:fill="FFFFFF"/>
        </w:rPr>
        <w:t>“</w:t>
      </w:r>
      <w:r w:rsidR="005F32FA" w:rsidRPr="0043224D">
        <w:rPr>
          <w:rFonts w:ascii="Times New Roman" w:hAnsi="Times New Roman" w:cs="Times New Roman"/>
          <w:sz w:val="24"/>
          <w:szCs w:val="24"/>
          <w:shd w:val="clear" w:color="auto" w:fill="FFFFFF"/>
        </w:rPr>
        <w:t xml:space="preserve">lineage” can be </w:t>
      </w:r>
      <w:r w:rsidR="00083118" w:rsidRPr="0043224D">
        <w:rPr>
          <w:rFonts w:ascii="Times New Roman" w:hAnsi="Times New Roman" w:cs="Times New Roman"/>
          <w:sz w:val="24"/>
          <w:szCs w:val="24"/>
          <w:shd w:val="clear" w:color="auto" w:fill="FFFFFF"/>
        </w:rPr>
        <w:t>discerned</w:t>
      </w:r>
      <w:r w:rsidR="005F32FA" w:rsidRPr="0043224D">
        <w:rPr>
          <w:rFonts w:ascii="Times New Roman" w:hAnsi="Times New Roman" w:cs="Times New Roman"/>
          <w:sz w:val="24"/>
          <w:szCs w:val="24"/>
          <w:shd w:val="clear" w:color="auto" w:fill="FFFFFF"/>
        </w:rPr>
        <w:t xml:space="preserve"> </w:t>
      </w:r>
      <w:r w:rsidR="003646B8" w:rsidRPr="0043224D">
        <w:rPr>
          <w:rFonts w:ascii="Times New Roman" w:hAnsi="Times New Roman" w:cs="Times New Roman"/>
          <w:sz w:val="24"/>
          <w:szCs w:val="24"/>
          <w:shd w:val="clear" w:color="auto" w:fill="FFFFFF"/>
        </w:rPr>
        <w:t xml:space="preserve">which </w:t>
      </w:r>
      <w:r w:rsidR="00354E6B" w:rsidRPr="0043224D">
        <w:rPr>
          <w:rFonts w:ascii="Times New Roman" w:hAnsi="Times New Roman" w:cs="Times New Roman"/>
          <w:sz w:val="24"/>
          <w:szCs w:val="24"/>
          <w:shd w:val="clear" w:color="auto" w:fill="FFFFFF"/>
        </w:rPr>
        <w:t>derives</w:t>
      </w:r>
      <w:r w:rsidR="003646B8" w:rsidRPr="0043224D">
        <w:rPr>
          <w:rFonts w:ascii="Times New Roman" w:hAnsi="Times New Roman" w:cs="Times New Roman"/>
          <w:sz w:val="24"/>
          <w:szCs w:val="24"/>
          <w:shd w:val="clear" w:color="auto" w:fill="FFFFFF"/>
        </w:rPr>
        <w:t xml:space="preserve"> from the universal and non-discriminatory language of the UNDHR. </w:t>
      </w:r>
      <w:r w:rsidR="005F32FA" w:rsidRPr="0043224D">
        <w:rPr>
          <w:rFonts w:ascii="Times New Roman" w:hAnsi="Times New Roman" w:cs="Times New Roman"/>
          <w:sz w:val="24"/>
          <w:szCs w:val="24"/>
          <w:shd w:val="clear" w:color="auto" w:fill="FFFFFF"/>
        </w:rPr>
        <w:t xml:space="preserve"> </w:t>
      </w:r>
      <w:r w:rsidR="00354E6B" w:rsidRPr="0043224D">
        <w:rPr>
          <w:rFonts w:ascii="Times New Roman" w:hAnsi="Times New Roman" w:cs="Times New Roman"/>
          <w:sz w:val="24"/>
          <w:szCs w:val="24"/>
          <w:shd w:val="clear" w:color="auto" w:fill="FFFFFF"/>
        </w:rPr>
        <w:t>For example, w</w:t>
      </w:r>
      <w:r w:rsidR="003646B8" w:rsidRPr="0043224D">
        <w:rPr>
          <w:rFonts w:ascii="Times New Roman" w:hAnsi="Times New Roman" w:cs="Times New Roman"/>
          <w:sz w:val="24"/>
          <w:szCs w:val="24"/>
          <w:shd w:val="clear" w:color="auto" w:fill="FFFFFF"/>
        </w:rPr>
        <w:t>ith regard to</w:t>
      </w:r>
      <w:r w:rsidR="00083118" w:rsidRPr="0043224D">
        <w:rPr>
          <w:rFonts w:ascii="Times New Roman" w:hAnsi="Times New Roman" w:cs="Times New Roman"/>
          <w:sz w:val="24"/>
          <w:szCs w:val="24"/>
          <w:shd w:val="clear" w:color="auto" w:fill="FFFFFF"/>
        </w:rPr>
        <w:t xml:space="preserve"> the norm of</w:t>
      </w:r>
      <w:r w:rsidR="003646B8" w:rsidRPr="0043224D">
        <w:rPr>
          <w:rFonts w:ascii="Times New Roman" w:hAnsi="Times New Roman" w:cs="Times New Roman"/>
          <w:sz w:val="24"/>
          <w:szCs w:val="24"/>
          <w:shd w:val="clear" w:color="auto" w:fill="FFFFFF"/>
        </w:rPr>
        <w:t xml:space="preserve"> cultural integrity, </w:t>
      </w:r>
      <w:r w:rsidR="00083118" w:rsidRPr="0043224D">
        <w:rPr>
          <w:rFonts w:ascii="Times New Roman" w:hAnsi="Times New Roman" w:cs="Times New Roman"/>
          <w:sz w:val="24"/>
          <w:szCs w:val="24"/>
          <w:shd w:val="clear" w:color="auto" w:fill="FFFFFF"/>
        </w:rPr>
        <w:t>Article 4 of UNESCO’s Universal Declaration on Cultural Diversity explicitly refers to indigenous peoples and human dignity, “</w:t>
      </w:r>
      <w:r w:rsidR="00083118" w:rsidRPr="0043224D">
        <w:rPr>
          <w:rFonts w:ascii="Times New Roman" w:hAnsi="Times New Roman" w:cs="Times New Roman"/>
          <w:color w:val="000000"/>
          <w:sz w:val="24"/>
          <w:szCs w:val="24"/>
          <w:shd w:val="clear" w:color="auto" w:fill="FFFFFF"/>
        </w:rPr>
        <w:t>The defence of cultural diversity is an ethical imperative, inseparable from respect for human dignity. It implies a commitment to human rights and fundamental freedoms, in particular the rights of persons belonging to minorities and those of indigenous peoples.”</w:t>
      </w:r>
      <w:r w:rsidR="00083118" w:rsidRPr="0043224D">
        <w:rPr>
          <w:rStyle w:val="FootnoteReference"/>
          <w:rFonts w:ascii="Times New Roman" w:hAnsi="Times New Roman" w:cs="Times New Roman"/>
          <w:color w:val="000000"/>
          <w:sz w:val="24"/>
          <w:szCs w:val="24"/>
          <w:shd w:val="clear" w:color="auto" w:fill="FFFFFF"/>
        </w:rPr>
        <w:footnoteReference w:id="106"/>
      </w:r>
      <w:r w:rsidR="002100A9" w:rsidRPr="0043224D">
        <w:rPr>
          <w:rFonts w:ascii="Times New Roman" w:hAnsi="Times New Roman" w:cs="Times New Roman"/>
          <w:color w:val="000000"/>
          <w:sz w:val="24"/>
          <w:szCs w:val="24"/>
          <w:shd w:val="clear" w:color="auto" w:fill="FFFFFF"/>
        </w:rPr>
        <w:t xml:space="preserve"> </w:t>
      </w:r>
    </w:p>
    <w:p w:rsidR="000B6656" w:rsidRPr="0043224D" w:rsidRDefault="002100A9" w:rsidP="00060EEC">
      <w:pPr>
        <w:spacing w:line="360" w:lineRule="auto"/>
        <w:ind w:firstLine="720"/>
        <w:rPr>
          <w:rFonts w:ascii="Times New Roman" w:hAnsi="Times New Roman" w:cs="Times New Roman"/>
          <w:sz w:val="24"/>
          <w:szCs w:val="24"/>
          <w:shd w:val="clear" w:color="auto" w:fill="FFFFFF"/>
        </w:rPr>
      </w:pPr>
      <w:r w:rsidRPr="0043224D">
        <w:rPr>
          <w:rFonts w:ascii="Times New Roman" w:hAnsi="Times New Roman" w:cs="Times New Roman"/>
          <w:color w:val="000000"/>
          <w:sz w:val="24"/>
          <w:szCs w:val="24"/>
          <w:shd w:val="clear" w:color="auto" w:fill="FFFFFF"/>
        </w:rPr>
        <w:t xml:space="preserve">This </w:t>
      </w:r>
      <w:r w:rsidR="007F59F6" w:rsidRPr="0043224D">
        <w:rPr>
          <w:rFonts w:ascii="Times New Roman" w:hAnsi="Times New Roman" w:cs="Times New Roman"/>
          <w:color w:val="000000"/>
          <w:sz w:val="24"/>
          <w:szCs w:val="24"/>
          <w:shd w:val="clear" w:color="auto" w:fill="FFFFFF"/>
        </w:rPr>
        <w:t>provision</w:t>
      </w:r>
      <w:r w:rsidRPr="0043224D">
        <w:rPr>
          <w:rFonts w:ascii="Times New Roman" w:hAnsi="Times New Roman" w:cs="Times New Roman"/>
          <w:color w:val="000000"/>
          <w:sz w:val="24"/>
          <w:szCs w:val="24"/>
          <w:shd w:val="clear" w:color="auto" w:fill="FFFFFF"/>
        </w:rPr>
        <w:t xml:space="preserve"> </w:t>
      </w:r>
      <w:r w:rsidR="0080142D" w:rsidRPr="0043224D">
        <w:rPr>
          <w:rFonts w:ascii="Times New Roman" w:hAnsi="Times New Roman" w:cs="Times New Roman"/>
          <w:color w:val="000000"/>
          <w:sz w:val="24"/>
          <w:szCs w:val="24"/>
          <w:shd w:val="clear" w:color="auto" w:fill="FFFFFF"/>
        </w:rPr>
        <w:t>ex</w:t>
      </w:r>
      <w:r w:rsidRPr="0043224D">
        <w:rPr>
          <w:rFonts w:ascii="Times New Roman" w:hAnsi="Times New Roman" w:cs="Times New Roman"/>
          <w:color w:val="000000"/>
          <w:sz w:val="24"/>
          <w:szCs w:val="24"/>
          <w:shd w:val="clear" w:color="auto" w:fill="FFFFFF"/>
        </w:rPr>
        <w:t xml:space="preserve">plicitly recognises a critical issue </w:t>
      </w:r>
      <w:r w:rsidR="007658CC" w:rsidRPr="0043224D">
        <w:rPr>
          <w:rFonts w:ascii="Times New Roman" w:hAnsi="Times New Roman" w:cs="Times New Roman"/>
          <w:color w:val="000000"/>
          <w:sz w:val="24"/>
          <w:szCs w:val="24"/>
          <w:shd w:val="clear" w:color="auto" w:fill="FFFFFF"/>
        </w:rPr>
        <w:t>raised elsewhere in this thesis.</w:t>
      </w:r>
      <w:r w:rsidRPr="0043224D">
        <w:rPr>
          <w:rFonts w:ascii="Times New Roman" w:hAnsi="Times New Roman" w:cs="Times New Roman"/>
          <w:color w:val="000000"/>
          <w:sz w:val="24"/>
          <w:szCs w:val="24"/>
          <w:shd w:val="clear" w:color="auto" w:fill="FFFFFF"/>
        </w:rPr>
        <w:t xml:space="preserve"> </w:t>
      </w:r>
      <w:r w:rsidR="007658CC" w:rsidRPr="0043224D">
        <w:rPr>
          <w:rFonts w:ascii="Times New Roman" w:hAnsi="Times New Roman" w:cs="Times New Roman"/>
          <w:color w:val="000000"/>
          <w:sz w:val="24"/>
          <w:szCs w:val="24"/>
          <w:shd w:val="clear" w:color="auto" w:fill="FFFFFF"/>
        </w:rPr>
        <w:t>That is,</w:t>
      </w:r>
      <w:r w:rsidRPr="0043224D">
        <w:rPr>
          <w:rFonts w:ascii="Times New Roman" w:hAnsi="Times New Roman" w:cs="Times New Roman"/>
          <w:color w:val="000000"/>
          <w:sz w:val="24"/>
          <w:szCs w:val="24"/>
          <w:shd w:val="clear" w:color="auto" w:fill="FFFFFF"/>
        </w:rPr>
        <w:t xml:space="preserve"> human dignity in relation to indigenous peoples i</w:t>
      </w:r>
      <w:r w:rsidR="007658CC" w:rsidRPr="0043224D">
        <w:rPr>
          <w:rFonts w:ascii="Times New Roman" w:hAnsi="Times New Roman" w:cs="Times New Roman"/>
          <w:color w:val="000000"/>
          <w:sz w:val="24"/>
          <w:szCs w:val="24"/>
          <w:shd w:val="clear" w:color="auto" w:fill="FFFFFF"/>
        </w:rPr>
        <w:t>s</w:t>
      </w:r>
      <w:r w:rsidRPr="0043224D">
        <w:rPr>
          <w:rFonts w:ascii="Times New Roman" w:hAnsi="Times New Roman" w:cs="Times New Roman"/>
          <w:color w:val="000000"/>
          <w:sz w:val="24"/>
          <w:szCs w:val="24"/>
          <w:shd w:val="clear" w:color="auto" w:fill="FFFFFF"/>
        </w:rPr>
        <w:t xml:space="preserve"> intrinsically tied up with cultural identity, </w:t>
      </w:r>
      <w:r w:rsidR="006E018F" w:rsidRPr="0043224D">
        <w:rPr>
          <w:rFonts w:ascii="Times New Roman" w:hAnsi="Times New Roman" w:cs="Times New Roman"/>
          <w:color w:val="000000"/>
          <w:sz w:val="24"/>
          <w:szCs w:val="24"/>
          <w:shd w:val="clear" w:color="auto" w:fill="FFFFFF"/>
        </w:rPr>
        <w:t>and cultural identity, as is stated below in the General Recommendation from the</w:t>
      </w:r>
      <w:r w:rsidR="006E018F" w:rsidRPr="0043224D">
        <w:rPr>
          <w:rFonts w:ascii="Times New Roman" w:hAnsi="Times New Roman" w:cs="Times New Roman"/>
          <w:sz w:val="24"/>
          <w:szCs w:val="24"/>
        </w:rPr>
        <w:t xml:space="preserve"> Committee on the Elimination of Racial Discrimination,</w:t>
      </w:r>
      <w:r w:rsidR="006E018F" w:rsidRPr="0043224D">
        <w:rPr>
          <w:rFonts w:ascii="Times New Roman" w:hAnsi="Times New Roman" w:cs="Times New Roman"/>
          <w:color w:val="000000"/>
          <w:sz w:val="24"/>
          <w:szCs w:val="24"/>
          <w:shd w:val="clear" w:color="auto" w:fill="FFFFFF"/>
        </w:rPr>
        <w:t xml:space="preserve"> is intrinsically linked to land and territory. To be displaced and deprived therefore of the</w:t>
      </w:r>
      <w:r w:rsidR="00354E6B" w:rsidRPr="0043224D">
        <w:rPr>
          <w:rFonts w:ascii="Times New Roman" w:hAnsi="Times New Roman" w:cs="Times New Roman"/>
          <w:color w:val="000000"/>
          <w:sz w:val="24"/>
          <w:szCs w:val="24"/>
          <w:shd w:val="clear" w:color="auto" w:fill="FFFFFF"/>
        </w:rPr>
        <w:t xml:space="preserve"> physical and spiritual</w:t>
      </w:r>
      <w:r w:rsidR="006E018F" w:rsidRPr="0043224D">
        <w:rPr>
          <w:rFonts w:ascii="Times New Roman" w:hAnsi="Times New Roman" w:cs="Times New Roman"/>
          <w:color w:val="000000"/>
          <w:sz w:val="24"/>
          <w:szCs w:val="24"/>
          <w:shd w:val="clear" w:color="auto" w:fill="FFFFFF"/>
        </w:rPr>
        <w:t xml:space="preserve"> sustenance to continue unique cultural practices</w:t>
      </w:r>
      <w:r w:rsidR="001062D5" w:rsidRPr="0043224D">
        <w:rPr>
          <w:rFonts w:ascii="Times New Roman" w:hAnsi="Times New Roman" w:cs="Times New Roman"/>
          <w:color w:val="000000"/>
          <w:sz w:val="24"/>
          <w:szCs w:val="24"/>
          <w:shd w:val="clear" w:color="auto" w:fill="FFFFFF"/>
        </w:rPr>
        <w:t xml:space="preserve"> </w:t>
      </w:r>
      <w:r w:rsidR="006E018F" w:rsidRPr="0043224D">
        <w:rPr>
          <w:rFonts w:ascii="Times New Roman" w:hAnsi="Times New Roman" w:cs="Times New Roman"/>
          <w:color w:val="000000"/>
          <w:sz w:val="24"/>
          <w:szCs w:val="24"/>
          <w:shd w:val="clear" w:color="auto" w:fill="FFFFFF"/>
        </w:rPr>
        <w:t>is, in effect, to</w:t>
      </w:r>
      <w:r w:rsidR="007658CC" w:rsidRPr="0043224D">
        <w:rPr>
          <w:rFonts w:ascii="Times New Roman" w:hAnsi="Times New Roman" w:cs="Times New Roman"/>
          <w:color w:val="000000"/>
          <w:sz w:val="24"/>
          <w:szCs w:val="24"/>
          <w:shd w:val="clear" w:color="auto" w:fill="FFFFFF"/>
        </w:rPr>
        <w:t xml:space="preserve"> be</w:t>
      </w:r>
      <w:r w:rsidR="006E018F" w:rsidRPr="0043224D">
        <w:rPr>
          <w:rFonts w:ascii="Times New Roman" w:hAnsi="Times New Roman" w:cs="Times New Roman"/>
          <w:color w:val="000000"/>
          <w:sz w:val="24"/>
          <w:szCs w:val="24"/>
          <w:shd w:val="clear" w:color="auto" w:fill="FFFFFF"/>
        </w:rPr>
        <w:t xml:space="preserve"> deprived of a living and dynamic cultural life. </w:t>
      </w:r>
      <w:r w:rsidR="007F59F6" w:rsidRPr="0043224D">
        <w:rPr>
          <w:rFonts w:ascii="Times New Roman" w:hAnsi="Times New Roman" w:cs="Times New Roman"/>
          <w:color w:val="000000"/>
          <w:sz w:val="24"/>
          <w:szCs w:val="24"/>
          <w:shd w:val="clear" w:color="auto" w:fill="FFFFFF"/>
        </w:rPr>
        <w:t xml:space="preserve"> </w:t>
      </w:r>
    </w:p>
    <w:p w:rsidR="003D26B4" w:rsidRPr="0043224D" w:rsidRDefault="006E018F" w:rsidP="00060EEC">
      <w:pPr>
        <w:spacing w:line="360" w:lineRule="auto"/>
        <w:ind w:firstLine="720"/>
        <w:rPr>
          <w:rFonts w:ascii="Times New Roman" w:hAnsi="Times New Roman" w:cs="Times New Roman"/>
          <w:color w:val="000000"/>
          <w:sz w:val="24"/>
          <w:szCs w:val="24"/>
          <w:shd w:val="clear" w:color="auto" w:fill="FFFFFF"/>
        </w:rPr>
      </w:pPr>
      <w:r w:rsidRPr="0043224D">
        <w:rPr>
          <w:rFonts w:ascii="Times New Roman" w:hAnsi="Times New Roman" w:cs="Times New Roman"/>
          <w:sz w:val="24"/>
          <w:szCs w:val="24"/>
        </w:rPr>
        <w:t>Furthermore, this</w:t>
      </w:r>
      <w:r w:rsidR="00ED1487" w:rsidRPr="0043224D">
        <w:rPr>
          <w:rFonts w:ascii="Times New Roman" w:hAnsi="Times New Roman" w:cs="Times New Roman"/>
          <w:sz w:val="24"/>
          <w:szCs w:val="24"/>
        </w:rPr>
        <w:t xml:space="preserve"> trend</w:t>
      </w:r>
      <w:r w:rsidRPr="0043224D">
        <w:rPr>
          <w:rFonts w:ascii="Times New Roman" w:hAnsi="Times New Roman" w:cs="Times New Roman"/>
          <w:sz w:val="24"/>
          <w:szCs w:val="24"/>
        </w:rPr>
        <w:t xml:space="preserve"> of recognising</w:t>
      </w:r>
      <w:r w:rsidR="00BE167C" w:rsidRPr="0043224D">
        <w:rPr>
          <w:rFonts w:ascii="Times New Roman" w:hAnsi="Times New Roman" w:cs="Times New Roman"/>
          <w:sz w:val="24"/>
          <w:szCs w:val="24"/>
        </w:rPr>
        <w:t xml:space="preserve"> the linkages between</w:t>
      </w:r>
      <w:r w:rsidRPr="0043224D">
        <w:rPr>
          <w:rFonts w:ascii="Times New Roman" w:hAnsi="Times New Roman" w:cs="Times New Roman"/>
          <w:sz w:val="24"/>
          <w:szCs w:val="24"/>
        </w:rPr>
        <w:t xml:space="preserve"> human dignity</w:t>
      </w:r>
      <w:r w:rsidR="00BE167C" w:rsidRPr="0043224D">
        <w:rPr>
          <w:rFonts w:ascii="Times New Roman" w:hAnsi="Times New Roman" w:cs="Times New Roman"/>
          <w:sz w:val="24"/>
          <w:szCs w:val="24"/>
        </w:rPr>
        <w:t xml:space="preserve"> and cultural integrity</w:t>
      </w:r>
      <w:r w:rsidR="00ED1487" w:rsidRPr="0043224D">
        <w:rPr>
          <w:rFonts w:ascii="Times New Roman" w:hAnsi="Times New Roman" w:cs="Times New Roman"/>
          <w:sz w:val="24"/>
          <w:szCs w:val="24"/>
        </w:rPr>
        <w:t xml:space="preserve"> can be discerned a</w:t>
      </w:r>
      <w:r w:rsidR="00083118" w:rsidRPr="0043224D">
        <w:rPr>
          <w:rFonts w:ascii="Times New Roman" w:hAnsi="Times New Roman" w:cs="Times New Roman"/>
          <w:sz w:val="24"/>
          <w:szCs w:val="24"/>
        </w:rPr>
        <w:t>s</w:t>
      </w:r>
      <w:r w:rsidR="00ED1487" w:rsidRPr="0043224D">
        <w:rPr>
          <w:rFonts w:ascii="Times New Roman" w:hAnsi="Times New Roman" w:cs="Times New Roman"/>
          <w:sz w:val="24"/>
          <w:szCs w:val="24"/>
        </w:rPr>
        <w:t xml:space="preserve"> the </w:t>
      </w:r>
      <w:r w:rsidR="003E15A6" w:rsidRPr="0043224D">
        <w:rPr>
          <w:rFonts w:ascii="Times New Roman" w:hAnsi="Times New Roman" w:cs="Times New Roman"/>
          <w:sz w:val="24"/>
          <w:szCs w:val="24"/>
        </w:rPr>
        <w:t>international human</w:t>
      </w:r>
      <w:r w:rsidR="00083118" w:rsidRPr="0043224D">
        <w:rPr>
          <w:rFonts w:ascii="Times New Roman" w:hAnsi="Times New Roman" w:cs="Times New Roman"/>
          <w:sz w:val="24"/>
          <w:szCs w:val="24"/>
        </w:rPr>
        <w:t xml:space="preserve"> rights</w:t>
      </w:r>
      <w:r w:rsidR="00ED1487" w:rsidRPr="0043224D">
        <w:rPr>
          <w:rFonts w:ascii="Times New Roman" w:hAnsi="Times New Roman" w:cs="Times New Roman"/>
          <w:sz w:val="24"/>
          <w:szCs w:val="24"/>
        </w:rPr>
        <w:t xml:space="preserve"> </w:t>
      </w:r>
      <w:r w:rsidR="003E15A6" w:rsidRPr="0043224D">
        <w:rPr>
          <w:rFonts w:ascii="Times New Roman" w:hAnsi="Times New Roman" w:cs="Times New Roman"/>
          <w:sz w:val="24"/>
          <w:szCs w:val="24"/>
        </w:rPr>
        <w:t>system has</w:t>
      </w:r>
      <w:r w:rsidR="00083118" w:rsidRPr="0043224D">
        <w:rPr>
          <w:rFonts w:ascii="Times New Roman" w:hAnsi="Times New Roman" w:cs="Times New Roman"/>
          <w:sz w:val="24"/>
          <w:szCs w:val="24"/>
        </w:rPr>
        <w:t xml:space="preserve"> progressed </w:t>
      </w:r>
      <w:r w:rsidR="003E15A6" w:rsidRPr="0043224D">
        <w:rPr>
          <w:rFonts w:ascii="Times New Roman" w:hAnsi="Times New Roman" w:cs="Times New Roman"/>
          <w:sz w:val="24"/>
          <w:szCs w:val="24"/>
        </w:rPr>
        <w:t>to widen the net to</w:t>
      </w:r>
      <w:r w:rsidR="00083118" w:rsidRPr="0043224D">
        <w:rPr>
          <w:rFonts w:ascii="Times New Roman" w:hAnsi="Times New Roman" w:cs="Times New Roman"/>
          <w:sz w:val="24"/>
          <w:szCs w:val="24"/>
        </w:rPr>
        <w:t xml:space="preserve"> capture</w:t>
      </w:r>
      <w:r w:rsidR="003E15A6" w:rsidRPr="0043224D">
        <w:rPr>
          <w:rFonts w:ascii="Times New Roman" w:hAnsi="Times New Roman" w:cs="Times New Roman"/>
          <w:sz w:val="24"/>
          <w:szCs w:val="24"/>
        </w:rPr>
        <w:t xml:space="preserve"> especially</w:t>
      </w:r>
      <w:r w:rsidR="00083118" w:rsidRPr="0043224D">
        <w:rPr>
          <w:rFonts w:ascii="Times New Roman" w:hAnsi="Times New Roman" w:cs="Times New Roman"/>
          <w:sz w:val="24"/>
          <w:szCs w:val="24"/>
        </w:rPr>
        <w:t xml:space="preserve"> vulnerable</w:t>
      </w:r>
      <w:r w:rsidR="003E15A6" w:rsidRPr="0043224D">
        <w:rPr>
          <w:rFonts w:ascii="Times New Roman" w:hAnsi="Times New Roman" w:cs="Times New Roman"/>
          <w:sz w:val="24"/>
          <w:szCs w:val="24"/>
        </w:rPr>
        <w:t xml:space="preserve"> and marginalised</w:t>
      </w:r>
      <w:r w:rsidR="00083118" w:rsidRPr="0043224D">
        <w:rPr>
          <w:rFonts w:ascii="Times New Roman" w:hAnsi="Times New Roman" w:cs="Times New Roman"/>
          <w:sz w:val="24"/>
          <w:szCs w:val="24"/>
        </w:rPr>
        <w:t xml:space="preserve"> minorities</w:t>
      </w:r>
      <w:r w:rsidR="003E15A6" w:rsidRPr="0043224D">
        <w:rPr>
          <w:rFonts w:ascii="Times New Roman" w:hAnsi="Times New Roman" w:cs="Times New Roman"/>
          <w:sz w:val="24"/>
          <w:szCs w:val="24"/>
        </w:rPr>
        <w:t>.</w:t>
      </w:r>
      <w:r w:rsidR="00ED1487" w:rsidRPr="0043224D">
        <w:rPr>
          <w:rFonts w:ascii="Times New Roman" w:hAnsi="Times New Roman" w:cs="Times New Roman"/>
          <w:sz w:val="24"/>
          <w:szCs w:val="24"/>
        </w:rPr>
        <w:t xml:space="preserve"> </w:t>
      </w:r>
      <w:r w:rsidR="003E15A6" w:rsidRPr="0043224D">
        <w:rPr>
          <w:rFonts w:ascii="Times New Roman" w:hAnsi="Times New Roman" w:cs="Times New Roman"/>
          <w:sz w:val="24"/>
          <w:szCs w:val="24"/>
        </w:rPr>
        <w:t xml:space="preserve">As </w:t>
      </w:r>
      <w:r w:rsidR="00BE167C" w:rsidRPr="0043224D">
        <w:rPr>
          <w:rFonts w:ascii="Times New Roman" w:hAnsi="Times New Roman" w:cs="Times New Roman"/>
          <w:sz w:val="24"/>
          <w:szCs w:val="24"/>
        </w:rPr>
        <w:t>it has progressed</w:t>
      </w:r>
      <w:r w:rsidR="003E15A6" w:rsidRPr="0043224D">
        <w:rPr>
          <w:rFonts w:ascii="Times New Roman" w:hAnsi="Times New Roman" w:cs="Times New Roman"/>
          <w:sz w:val="24"/>
          <w:szCs w:val="24"/>
        </w:rPr>
        <w:t>,</w:t>
      </w:r>
      <w:r w:rsidR="00ED1487" w:rsidRPr="0043224D">
        <w:rPr>
          <w:rFonts w:ascii="Times New Roman" w:hAnsi="Times New Roman" w:cs="Times New Roman"/>
          <w:sz w:val="24"/>
          <w:szCs w:val="24"/>
        </w:rPr>
        <w:t xml:space="preserve"> the human rights international framework has not only included indigenous peoples, but</w:t>
      </w:r>
      <w:r w:rsidR="003E15A6" w:rsidRPr="0043224D">
        <w:rPr>
          <w:rFonts w:ascii="Times New Roman" w:hAnsi="Times New Roman" w:cs="Times New Roman"/>
          <w:sz w:val="24"/>
          <w:szCs w:val="24"/>
        </w:rPr>
        <w:t xml:space="preserve"> </w:t>
      </w:r>
      <w:r w:rsidR="00ED1487" w:rsidRPr="0043224D">
        <w:rPr>
          <w:rFonts w:ascii="Times New Roman" w:hAnsi="Times New Roman" w:cs="Times New Roman"/>
          <w:sz w:val="24"/>
          <w:szCs w:val="24"/>
        </w:rPr>
        <w:t xml:space="preserve">also has sought to include vulnerable members </w:t>
      </w:r>
      <w:r w:rsidR="00354E6B" w:rsidRPr="0043224D">
        <w:rPr>
          <w:rFonts w:ascii="Times New Roman" w:hAnsi="Times New Roman" w:cs="Times New Roman"/>
          <w:sz w:val="24"/>
          <w:szCs w:val="24"/>
        </w:rPr>
        <w:t>within</w:t>
      </w:r>
      <w:r w:rsidR="00ED1487" w:rsidRPr="0043224D">
        <w:rPr>
          <w:rFonts w:ascii="Times New Roman" w:hAnsi="Times New Roman" w:cs="Times New Roman"/>
          <w:sz w:val="24"/>
          <w:szCs w:val="24"/>
        </w:rPr>
        <w:t xml:space="preserve"> indigenous populations</w:t>
      </w:r>
      <w:r w:rsidR="003E15A6" w:rsidRPr="0043224D">
        <w:rPr>
          <w:rFonts w:ascii="Times New Roman" w:hAnsi="Times New Roman" w:cs="Times New Roman"/>
          <w:sz w:val="24"/>
          <w:szCs w:val="24"/>
        </w:rPr>
        <w:t xml:space="preserve"> as a discrete sub-category worthy of</w:t>
      </w:r>
      <w:r w:rsidR="00B273EA" w:rsidRPr="0043224D">
        <w:rPr>
          <w:rFonts w:ascii="Times New Roman" w:hAnsi="Times New Roman" w:cs="Times New Roman"/>
          <w:sz w:val="24"/>
          <w:szCs w:val="24"/>
        </w:rPr>
        <w:t xml:space="preserve"> concern and</w:t>
      </w:r>
      <w:r w:rsidR="009B2D8C" w:rsidRPr="0043224D">
        <w:rPr>
          <w:rFonts w:ascii="Times New Roman" w:hAnsi="Times New Roman" w:cs="Times New Roman"/>
          <w:sz w:val="24"/>
          <w:szCs w:val="24"/>
        </w:rPr>
        <w:t xml:space="preserve"> note</w:t>
      </w:r>
      <w:r w:rsidR="003E15A6" w:rsidRPr="0043224D">
        <w:rPr>
          <w:rFonts w:ascii="Times New Roman" w:hAnsi="Times New Roman" w:cs="Times New Roman"/>
          <w:sz w:val="24"/>
          <w:szCs w:val="24"/>
        </w:rPr>
        <w:t xml:space="preserve">. </w:t>
      </w:r>
      <w:r w:rsidR="009B2D8C" w:rsidRPr="0043224D">
        <w:rPr>
          <w:rFonts w:ascii="Times New Roman" w:hAnsi="Times New Roman" w:cs="Times New Roman"/>
          <w:sz w:val="24"/>
          <w:szCs w:val="24"/>
        </w:rPr>
        <w:t>For example, t</w:t>
      </w:r>
      <w:r w:rsidR="003E15A6" w:rsidRPr="0043224D">
        <w:rPr>
          <w:rFonts w:ascii="Times New Roman" w:hAnsi="Times New Roman" w:cs="Times New Roman"/>
          <w:sz w:val="24"/>
          <w:szCs w:val="24"/>
        </w:rPr>
        <w:t>reaty based body the Committee on the Elimination of All Forms of Discrimination against Women</w:t>
      </w:r>
      <w:r w:rsidR="003E15A6" w:rsidRPr="0043224D">
        <w:rPr>
          <w:rStyle w:val="FootnoteReference"/>
          <w:rFonts w:ascii="Times New Roman" w:hAnsi="Times New Roman" w:cs="Times New Roman"/>
          <w:sz w:val="24"/>
          <w:szCs w:val="24"/>
        </w:rPr>
        <w:footnoteReference w:id="107"/>
      </w:r>
      <w:r w:rsidR="003E15A6" w:rsidRPr="0043224D">
        <w:rPr>
          <w:rFonts w:ascii="Times New Roman" w:hAnsi="Times New Roman" w:cs="Times New Roman"/>
          <w:sz w:val="24"/>
          <w:szCs w:val="24"/>
        </w:rPr>
        <w:t xml:space="preserve"> in its concluding observations</w:t>
      </w:r>
      <w:r w:rsidR="009B2D8C" w:rsidRPr="0043224D">
        <w:rPr>
          <w:rFonts w:ascii="Times New Roman" w:hAnsi="Times New Roman" w:cs="Times New Roman"/>
          <w:sz w:val="24"/>
          <w:szCs w:val="24"/>
        </w:rPr>
        <w:t xml:space="preserve"> on Mexico in 2012</w:t>
      </w:r>
      <w:r w:rsidR="003E15A6" w:rsidRPr="0043224D">
        <w:rPr>
          <w:rFonts w:ascii="Times New Roman" w:hAnsi="Times New Roman" w:cs="Times New Roman"/>
          <w:sz w:val="24"/>
          <w:szCs w:val="24"/>
        </w:rPr>
        <w:t xml:space="preserve"> </w:t>
      </w:r>
      <w:r w:rsidR="009B2D8C" w:rsidRPr="0043224D">
        <w:rPr>
          <w:rFonts w:ascii="Times New Roman" w:hAnsi="Times New Roman" w:cs="Times New Roman"/>
          <w:sz w:val="24"/>
          <w:szCs w:val="24"/>
        </w:rPr>
        <w:t>addressed, amongst other things, the high level of poverty and discrimination against rural indigenous women. The Committee addressed not only discrimination against indigenous women from outside the community, but also from within the community. Concluding that indigenous women face, “[H]</w:t>
      </w:r>
      <w:r w:rsidR="009B2D8C" w:rsidRPr="0043224D">
        <w:rPr>
          <w:rFonts w:ascii="Times New Roman" w:hAnsi="Times New Roman" w:cs="Times New Roman"/>
          <w:color w:val="000000"/>
          <w:sz w:val="24"/>
          <w:szCs w:val="24"/>
          <w:shd w:val="clear" w:color="auto" w:fill="FFFFFF"/>
        </w:rPr>
        <w:t>armful cultural practices within the indigenous legal system which are based on gender stereotyped roles for men and women such as "bride price,"… which perpetuate[s] discrimination against indigenous women and girls</w:t>
      </w:r>
      <w:r w:rsidR="00614502" w:rsidRPr="0043224D">
        <w:rPr>
          <w:rFonts w:ascii="Times New Roman" w:hAnsi="Times New Roman" w:cs="Times New Roman"/>
          <w:color w:val="000000"/>
          <w:sz w:val="24"/>
          <w:szCs w:val="24"/>
          <w:shd w:val="clear" w:color="auto" w:fill="FFFFFF"/>
        </w:rPr>
        <w:t xml:space="preserve">.” </w:t>
      </w:r>
      <w:r w:rsidR="009B2D8C" w:rsidRPr="0043224D">
        <w:rPr>
          <w:rFonts w:ascii="Times New Roman" w:hAnsi="Times New Roman" w:cs="Times New Roman"/>
          <w:color w:val="000000"/>
          <w:sz w:val="24"/>
          <w:szCs w:val="24"/>
          <w:shd w:val="clear" w:color="auto" w:fill="FFFFFF"/>
        </w:rPr>
        <w:t>And furthermore,</w:t>
      </w:r>
      <w:r w:rsidR="000529A9" w:rsidRPr="0043224D">
        <w:rPr>
          <w:rFonts w:ascii="Times New Roman" w:hAnsi="Times New Roman" w:cs="Times New Roman"/>
          <w:color w:val="000000"/>
          <w:sz w:val="24"/>
          <w:szCs w:val="24"/>
          <w:shd w:val="clear" w:color="auto" w:fill="FFFFFF"/>
        </w:rPr>
        <w:t xml:space="preserve"> relevant</w:t>
      </w:r>
      <w:r w:rsidR="007658CC" w:rsidRPr="0043224D">
        <w:rPr>
          <w:rFonts w:ascii="Times New Roman" w:hAnsi="Times New Roman" w:cs="Times New Roman"/>
          <w:color w:val="000000"/>
          <w:sz w:val="24"/>
          <w:szCs w:val="24"/>
          <w:shd w:val="clear" w:color="auto" w:fill="FFFFFF"/>
        </w:rPr>
        <w:t xml:space="preserve"> to</w:t>
      </w:r>
      <w:r w:rsidR="000529A9" w:rsidRPr="0043224D">
        <w:rPr>
          <w:rFonts w:ascii="Times New Roman" w:hAnsi="Times New Roman" w:cs="Times New Roman"/>
          <w:color w:val="000000"/>
          <w:sz w:val="24"/>
          <w:szCs w:val="24"/>
          <w:shd w:val="clear" w:color="auto" w:fill="FFFFFF"/>
        </w:rPr>
        <w:t xml:space="preserve"> the issues</w:t>
      </w:r>
      <w:r w:rsidR="009B2D8C" w:rsidRPr="0043224D">
        <w:rPr>
          <w:rFonts w:ascii="Times New Roman" w:hAnsi="Times New Roman" w:cs="Times New Roman"/>
          <w:color w:val="000000"/>
          <w:sz w:val="24"/>
          <w:szCs w:val="24"/>
          <w:shd w:val="clear" w:color="auto" w:fill="FFFFFF"/>
        </w:rPr>
        <w:t xml:space="preserve"> </w:t>
      </w:r>
      <w:r w:rsidR="000529A9" w:rsidRPr="0043224D">
        <w:rPr>
          <w:rFonts w:ascii="Times New Roman" w:hAnsi="Times New Roman" w:cs="Times New Roman"/>
          <w:color w:val="000000"/>
          <w:sz w:val="24"/>
          <w:szCs w:val="24"/>
          <w:shd w:val="clear" w:color="auto" w:fill="FFFFFF"/>
        </w:rPr>
        <w:t>in this paper</w:t>
      </w:r>
      <w:r w:rsidR="009B2D8C" w:rsidRPr="0043224D">
        <w:rPr>
          <w:rFonts w:ascii="Times New Roman" w:hAnsi="Times New Roman" w:cs="Times New Roman"/>
          <w:color w:val="000000"/>
          <w:sz w:val="24"/>
          <w:szCs w:val="24"/>
          <w:shd w:val="clear" w:color="auto" w:fill="FFFFFF"/>
        </w:rPr>
        <w:t xml:space="preserve">, </w:t>
      </w:r>
      <w:r w:rsidR="000529A9" w:rsidRPr="0043224D">
        <w:rPr>
          <w:rFonts w:ascii="Times New Roman" w:hAnsi="Times New Roman" w:cs="Times New Roman"/>
          <w:color w:val="000000"/>
          <w:sz w:val="24"/>
          <w:szCs w:val="24"/>
          <w:shd w:val="clear" w:color="auto" w:fill="FFFFFF"/>
        </w:rPr>
        <w:t>“It is further concerned at the lack of indigenous rural women's access to land, property and justice.”</w:t>
      </w:r>
      <w:r w:rsidR="000529A9" w:rsidRPr="0043224D">
        <w:rPr>
          <w:rStyle w:val="FootnoteReference"/>
          <w:rFonts w:ascii="Times New Roman" w:hAnsi="Times New Roman" w:cs="Times New Roman"/>
          <w:sz w:val="24"/>
          <w:szCs w:val="24"/>
        </w:rPr>
        <w:footnoteReference w:id="108"/>
      </w:r>
      <w:r w:rsidR="007658CC" w:rsidRPr="0043224D">
        <w:rPr>
          <w:rFonts w:ascii="Times New Roman" w:hAnsi="Times New Roman" w:cs="Times New Roman"/>
          <w:color w:val="000000"/>
          <w:sz w:val="24"/>
          <w:szCs w:val="24"/>
          <w:shd w:val="clear" w:color="auto" w:fill="FFFFFF"/>
        </w:rPr>
        <w:t xml:space="preserve"> </w:t>
      </w:r>
    </w:p>
    <w:p w:rsidR="005544AC" w:rsidRPr="0043224D" w:rsidRDefault="008577BE" w:rsidP="00060EEC">
      <w:pPr>
        <w:autoSpaceDE w:val="0"/>
        <w:autoSpaceDN w:val="0"/>
        <w:adjustRightInd w:val="0"/>
        <w:spacing w:after="0" w:line="360" w:lineRule="auto"/>
        <w:ind w:firstLine="720"/>
        <w:rPr>
          <w:rFonts w:ascii="Times New Roman" w:hAnsi="Times New Roman" w:cs="Times New Roman"/>
          <w:color w:val="000000"/>
          <w:sz w:val="24"/>
          <w:szCs w:val="24"/>
          <w:shd w:val="clear" w:color="auto" w:fill="FFFFFF"/>
        </w:rPr>
      </w:pPr>
      <w:r w:rsidRPr="0043224D">
        <w:rPr>
          <w:rFonts w:ascii="Times New Roman" w:hAnsi="Times New Roman" w:cs="Times New Roman"/>
          <w:color w:val="000000"/>
          <w:sz w:val="24"/>
          <w:szCs w:val="24"/>
          <w:shd w:val="clear" w:color="auto" w:fill="FFFFFF"/>
        </w:rPr>
        <w:t>Equally, Article 30 of the Convention on the Rights of the Child explicitly mentions indigenous children</w:t>
      </w:r>
      <w:r w:rsidR="00EB5784" w:rsidRPr="0043224D">
        <w:rPr>
          <w:rFonts w:ascii="Times New Roman" w:hAnsi="Times New Roman" w:cs="Times New Roman"/>
          <w:color w:val="000000"/>
          <w:sz w:val="24"/>
          <w:szCs w:val="24"/>
          <w:shd w:val="clear" w:color="auto" w:fill="FFFFFF"/>
        </w:rPr>
        <w:t xml:space="preserve"> in relation to the enjoyment of cultural rights</w:t>
      </w:r>
      <w:r w:rsidRPr="0043224D">
        <w:rPr>
          <w:rFonts w:ascii="Times New Roman" w:hAnsi="Times New Roman" w:cs="Times New Roman"/>
          <w:color w:val="000000"/>
          <w:sz w:val="24"/>
          <w:szCs w:val="24"/>
          <w:shd w:val="clear" w:color="auto" w:fill="FFFFFF"/>
        </w:rPr>
        <w:t>.</w:t>
      </w:r>
      <w:r w:rsidRPr="0043224D">
        <w:rPr>
          <w:rStyle w:val="FootnoteReference"/>
          <w:rFonts w:ascii="Times New Roman" w:hAnsi="Times New Roman" w:cs="Times New Roman"/>
          <w:color w:val="000000"/>
          <w:sz w:val="24"/>
          <w:szCs w:val="24"/>
          <w:shd w:val="clear" w:color="auto" w:fill="FFFFFF"/>
        </w:rPr>
        <w:footnoteReference w:id="109"/>
      </w:r>
      <w:r w:rsidRPr="0043224D">
        <w:rPr>
          <w:rFonts w:ascii="Times New Roman" w:hAnsi="Times New Roman" w:cs="Times New Roman"/>
          <w:color w:val="000000"/>
          <w:sz w:val="24"/>
          <w:szCs w:val="24"/>
          <w:shd w:val="clear" w:color="auto" w:fill="FFFFFF"/>
        </w:rPr>
        <w:t xml:space="preserve"> </w:t>
      </w:r>
      <w:r w:rsidR="005544AC" w:rsidRPr="0043224D">
        <w:rPr>
          <w:rFonts w:ascii="Times New Roman" w:hAnsi="Times New Roman" w:cs="Times New Roman"/>
          <w:color w:val="000000"/>
          <w:sz w:val="24"/>
          <w:szCs w:val="24"/>
          <w:shd w:val="clear" w:color="auto" w:fill="FFFFFF"/>
        </w:rPr>
        <w:t>In addition the Committee on the Rights of the Child in its 34</w:t>
      </w:r>
      <w:r w:rsidR="005544AC" w:rsidRPr="0043224D">
        <w:rPr>
          <w:rFonts w:ascii="Times New Roman" w:hAnsi="Times New Roman" w:cs="Times New Roman"/>
          <w:color w:val="000000"/>
          <w:sz w:val="24"/>
          <w:szCs w:val="24"/>
          <w:shd w:val="clear" w:color="auto" w:fill="FFFFFF"/>
          <w:vertAlign w:val="superscript"/>
        </w:rPr>
        <w:t>th</w:t>
      </w:r>
      <w:r w:rsidR="005544AC" w:rsidRPr="0043224D">
        <w:rPr>
          <w:rFonts w:ascii="Times New Roman" w:hAnsi="Times New Roman" w:cs="Times New Roman"/>
          <w:color w:val="000000"/>
          <w:sz w:val="24"/>
          <w:szCs w:val="24"/>
          <w:shd w:val="clear" w:color="auto" w:fill="FFFFFF"/>
        </w:rPr>
        <w:t xml:space="preserve"> session in 2003, also explicitly acknowledged-even if qualifying the recognition somewhat-the link between the norm of cultural integrity and i</w:t>
      </w:r>
      <w:r w:rsidR="00DD1538" w:rsidRPr="0043224D">
        <w:rPr>
          <w:rFonts w:ascii="Times New Roman" w:hAnsi="Times New Roman" w:cs="Times New Roman"/>
          <w:color w:val="000000"/>
          <w:sz w:val="24"/>
          <w:szCs w:val="24"/>
          <w:shd w:val="clear" w:color="auto" w:fill="FFFFFF"/>
        </w:rPr>
        <w:t>ndigenous lands and territories,</w:t>
      </w:r>
      <w:r w:rsidR="005544AC" w:rsidRPr="0043224D">
        <w:rPr>
          <w:rFonts w:ascii="Times New Roman" w:hAnsi="Times New Roman" w:cs="Times New Roman"/>
          <w:color w:val="000000"/>
          <w:sz w:val="24"/>
          <w:szCs w:val="24"/>
          <w:shd w:val="clear" w:color="auto" w:fill="FFFFFF"/>
        </w:rPr>
        <w:t xml:space="preserve"> “the enjoyment of the rights under article 30, in particular the right to enjoy one’s culture, may consist of a way of life which is closely associated with territory and use of its resources. This may particularly be true of members of indigenous communities constituting a minority.</w:t>
      </w:r>
      <w:r w:rsidR="00354E6B" w:rsidRPr="0043224D">
        <w:rPr>
          <w:rFonts w:ascii="Times New Roman" w:hAnsi="Times New Roman" w:cs="Times New Roman"/>
          <w:color w:val="000000"/>
          <w:sz w:val="24"/>
          <w:szCs w:val="24"/>
          <w:shd w:val="clear" w:color="auto" w:fill="FFFFFF"/>
        </w:rPr>
        <w:t>”</w:t>
      </w:r>
      <w:r w:rsidR="005544AC" w:rsidRPr="0043224D">
        <w:rPr>
          <w:rStyle w:val="FootnoteReference"/>
          <w:rFonts w:ascii="Times New Roman" w:hAnsi="Times New Roman" w:cs="Times New Roman"/>
          <w:color w:val="000000"/>
          <w:sz w:val="24"/>
          <w:szCs w:val="24"/>
          <w:shd w:val="clear" w:color="auto" w:fill="FFFFFF"/>
        </w:rPr>
        <w:footnoteReference w:id="110"/>
      </w:r>
      <w:r w:rsidR="005544AC" w:rsidRPr="0043224D">
        <w:rPr>
          <w:rFonts w:ascii="Times New Roman" w:hAnsi="Times New Roman" w:cs="Times New Roman"/>
          <w:color w:val="000000"/>
          <w:sz w:val="24"/>
          <w:szCs w:val="24"/>
          <w:shd w:val="clear" w:color="auto" w:fill="FFFFFF"/>
        </w:rPr>
        <w:t xml:space="preserve"> </w:t>
      </w:r>
      <w:r w:rsidR="008E5BA5" w:rsidRPr="0043224D">
        <w:rPr>
          <w:rFonts w:ascii="Times New Roman" w:hAnsi="Times New Roman" w:cs="Times New Roman"/>
          <w:color w:val="000000"/>
          <w:sz w:val="24"/>
          <w:szCs w:val="24"/>
          <w:shd w:val="clear" w:color="auto" w:fill="FFFFFF"/>
        </w:rPr>
        <w:t>The UN Committee on Social, Economic and Cultural Rights</w:t>
      </w:r>
      <w:r w:rsidR="00354E6B" w:rsidRPr="0043224D">
        <w:rPr>
          <w:rFonts w:ascii="Times New Roman" w:hAnsi="Times New Roman" w:cs="Times New Roman"/>
          <w:color w:val="000000"/>
          <w:sz w:val="24"/>
          <w:szCs w:val="24"/>
          <w:shd w:val="clear" w:color="auto" w:fill="FFFFFF"/>
        </w:rPr>
        <w:t xml:space="preserve"> w</w:t>
      </w:r>
      <w:r w:rsidR="00DD1538" w:rsidRPr="0043224D">
        <w:rPr>
          <w:rFonts w:ascii="Times New Roman" w:hAnsi="Times New Roman" w:cs="Times New Roman"/>
          <w:color w:val="000000"/>
          <w:sz w:val="24"/>
          <w:szCs w:val="24"/>
          <w:shd w:val="clear" w:color="auto" w:fill="FFFFFF"/>
        </w:rPr>
        <w:t>ere</w:t>
      </w:r>
      <w:r w:rsidR="00354E6B" w:rsidRPr="0043224D">
        <w:rPr>
          <w:rFonts w:ascii="Times New Roman" w:hAnsi="Times New Roman" w:cs="Times New Roman"/>
          <w:color w:val="000000"/>
          <w:sz w:val="24"/>
          <w:szCs w:val="24"/>
          <w:shd w:val="clear" w:color="auto" w:fill="FFFFFF"/>
        </w:rPr>
        <w:t xml:space="preserve"> more forthcoming in 2009 when</w:t>
      </w:r>
      <w:r w:rsidR="008E5BA5" w:rsidRPr="0043224D">
        <w:rPr>
          <w:rFonts w:ascii="Times New Roman" w:hAnsi="Times New Roman" w:cs="Times New Roman"/>
          <w:color w:val="000000"/>
          <w:sz w:val="24"/>
          <w:szCs w:val="24"/>
          <w:shd w:val="clear" w:color="auto" w:fill="FFFFFF"/>
        </w:rPr>
        <w:t xml:space="preserve"> </w:t>
      </w:r>
      <w:r w:rsidR="00354E6B" w:rsidRPr="0043224D">
        <w:rPr>
          <w:rFonts w:ascii="Times New Roman" w:hAnsi="Times New Roman" w:cs="Times New Roman"/>
          <w:color w:val="000000"/>
          <w:sz w:val="24"/>
          <w:szCs w:val="24"/>
          <w:shd w:val="clear" w:color="auto" w:fill="FFFFFF"/>
        </w:rPr>
        <w:t>it</w:t>
      </w:r>
      <w:r w:rsidR="008E5BA5" w:rsidRPr="0043224D">
        <w:rPr>
          <w:rFonts w:ascii="Times New Roman" w:hAnsi="Times New Roman" w:cs="Times New Roman"/>
          <w:color w:val="000000"/>
          <w:sz w:val="24"/>
          <w:szCs w:val="24"/>
          <w:shd w:val="clear" w:color="auto" w:fill="FFFFFF"/>
        </w:rPr>
        <w:t xml:space="preserve"> also pronounced</w:t>
      </w:r>
      <w:r w:rsidR="00354E6B" w:rsidRPr="0043224D">
        <w:rPr>
          <w:rFonts w:ascii="Times New Roman" w:hAnsi="Times New Roman" w:cs="Times New Roman"/>
          <w:color w:val="000000"/>
          <w:sz w:val="24"/>
          <w:szCs w:val="24"/>
          <w:shd w:val="clear" w:color="auto" w:fill="FFFFFF"/>
        </w:rPr>
        <w:t>,</w:t>
      </w:r>
      <w:r w:rsidR="008E5BA5" w:rsidRPr="0043224D">
        <w:rPr>
          <w:rFonts w:ascii="Times New Roman" w:hAnsi="Times New Roman" w:cs="Times New Roman"/>
          <w:color w:val="000000"/>
          <w:sz w:val="24"/>
          <w:szCs w:val="24"/>
          <w:shd w:val="clear" w:color="auto" w:fill="FFFFFF"/>
        </w:rPr>
        <w:t xml:space="preserve"> </w:t>
      </w:r>
      <w:r w:rsidR="00354E6B" w:rsidRPr="0043224D">
        <w:rPr>
          <w:rFonts w:ascii="Times New Roman" w:hAnsi="Times New Roman" w:cs="Times New Roman"/>
          <w:color w:val="000000"/>
          <w:sz w:val="24"/>
          <w:szCs w:val="24"/>
          <w:shd w:val="clear" w:color="auto" w:fill="FFFFFF"/>
        </w:rPr>
        <w:t>“</w:t>
      </w:r>
      <w:r w:rsidR="00576A35" w:rsidRPr="0043224D">
        <w:rPr>
          <w:rFonts w:ascii="Times New Roman" w:hAnsi="Times New Roman" w:cs="Times New Roman"/>
          <w:color w:val="000000"/>
          <w:sz w:val="24"/>
          <w:szCs w:val="24"/>
          <w:shd w:val="clear" w:color="auto" w:fill="FFFFFF"/>
        </w:rPr>
        <w:t>O</w:t>
      </w:r>
      <w:r w:rsidR="008E5BA5" w:rsidRPr="0043224D">
        <w:rPr>
          <w:rFonts w:ascii="Times New Roman" w:hAnsi="Times New Roman" w:cs="Times New Roman"/>
          <w:color w:val="000000"/>
          <w:sz w:val="24"/>
          <w:szCs w:val="24"/>
          <w:shd w:val="clear" w:color="auto" w:fill="FFFFFF"/>
        </w:rPr>
        <w:t>n the strong communal and land-based component of indigenous culture</w:t>
      </w:r>
      <w:r w:rsidR="00354E6B" w:rsidRPr="0043224D">
        <w:rPr>
          <w:rFonts w:ascii="Times New Roman" w:hAnsi="Times New Roman" w:cs="Times New Roman"/>
          <w:color w:val="000000"/>
          <w:sz w:val="24"/>
          <w:szCs w:val="24"/>
          <w:shd w:val="clear" w:color="auto" w:fill="FFFFFF"/>
        </w:rPr>
        <w:t>”</w:t>
      </w:r>
      <w:r w:rsidR="003E5F74" w:rsidRPr="0043224D">
        <w:rPr>
          <w:rFonts w:ascii="Times New Roman" w:hAnsi="Times New Roman" w:cs="Times New Roman"/>
          <w:color w:val="000000"/>
          <w:sz w:val="24"/>
          <w:szCs w:val="24"/>
          <w:shd w:val="clear" w:color="auto" w:fill="FFFFFF"/>
        </w:rPr>
        <w:t xml:space="preserve">, and the importance of the enjoyment of culture and </w:t>
      </w:r>
      <w:r w:rsidR="00DD1538" w:rsidRPr="0043224D">
        <w:rPr>
          <w:rFonts w:ascii="Times New Roman" w:hAnsi="Times New Roman" w:cs="Times New Roman"/>
          <w:color w:val="000000"/>
          <w:sz w:val="24"/>
          <w:szCs w:val="24"/>
          <w:shd w:val="clear" w:color="auto" w:fill="FFFFFF"/>
        </w:rPr>
        <w:t>the cultural</w:t>
      </w:r>
      <w:r w:rsidR="003E5F74" w:rsidRPr="0043224D">
        <w:rPr>
          <w:rFonts w:ascii="Times New Roman" w:hAnsi="Times New Roman" w:cs="Times New Roman"/>
          <w:color w:val="000000"/>
          <w:sz w:val="24"/>
          <w:szCs w:val="24"/>
          <w:shd w:val="clear" w:color="auto" w:fill="FFFFFF"/>
        </w:rPr>
        <w:t xml:space="preserve"> link to land, and by implication</w:t>
      </w:r>
      <w:r w:rsidR="00DD1538" w:rsidRPr="0043224D">
        <w:rPr>
          <w:rFonts w:ascii="Times New Roman" w:hAnsi="Times New Roman" w:cs="Times New Roman"/>
          <w:color w:val="000000"/>
          <w:sz w:val="24"/>
          <w:szCs w:val="24"/>
          <w:shd w:val="clear" w:color="auto" w:fill="FFFFFF"/>
        </w:rPr>
        <w:t>,</w:t>
      </w:r>
      <w:r w:rsidR="003E5F74" w:rsidRPr="0043224D">
        <w:rPr>
          <w:rFonts w:ascii="Times New Roman" w:hAnsi="Times New Roman" w:cs="Times New Roman"/>
          <w:color w:val="000000"/>
          <w:sz w:val="24"/>
          <w:szCs w:val="24"/>
          <w:shd w:val="clear" w:color="auto" w:fill="FFFFFF"/>
        </w:rPr>
        <w:t xml:space="preserve"> the critical consequence to indigenous culture when they are displaced from the land.</w:t>
      </w:r>
      <w:r w:rsidR="003E5F74" w:rsidRPr="0043224D">
        <w:rPr>
          <w:rStyle w:val="FootnoteReference"/>
          <w:rFonts w:ascii="Times New Roman" w:hAnsi="Times New Roman" w:cs="Times New Roman"/>
          <w:color w:val="000000"/>
          <w:sz w:val="24"/>
          <w:szCs w:val="24"/>
          <w:shd w:val="clear" w:color="auto" w:fill="FFFFFF"/>
        </w:rPr>
        <w:footnoteReference w:id="111"/>
      </w:r>
    </w:p>
    <w:p w:rsidR="005544AC" w:rsidRPr="0043224D" w:rsidRDefault="005544AC" w:rsidP="0043224D">
      <w:pPr>
        <w:autoSpaceDE w:val="0"/>
        <w:autoSpaceDN w:val="0"/>
        <w:adjustRightInd w:val="0"/>
        <w:spacing w:after="0" w:line="360" w:lineRule="auto"/>
        <w:rPr>
          <w:rFonts w:ascii="Times New Roman" w:hAnsi="Times New Roman" w:cs="Times New Roman"/>
          <w:color w:val="000000"/>
          <w:sz w:val="24"/>
          <w:szCs w:val="24"/>
          <w:shd w:val="clear" w:color="auto" w:fill="FFFFFF"/>
        </w:rPr>
      </w:pPr>
    </w:p>
    <w:p w:rsidR="007F7981" w:rsidRPr="0043224D" w:rsidRDefault="003D26B4"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With regard to the norm of land and resources</w:t>
      </w:r>
      <w:r w:rsidR="009D6244" w:rsidRPr="0043224D">
        <w:rPr>
          <w:rFonts w:ascii="Times New Roman" w:hAnsi="Times New Roman" w:cs="Times New Roman"/>
          <w:sz w:val="24"/>
          <w:szCs w:val="24"/>
        </w:rPr>
        <w:t xml:space="preserve"> as articulated by Anaya</w:t>
      </w:r>
      <w:r w:rsidR="007F7981" w:rsidRPr="0043224D">
        <w:rPr>
          <w:rFonts w:ascii="Times New Roman" w:hAnsi="Times New Roman" w:cs="Times New Roman"/>
          <w:sz w:val="24"/>
          <w:szCs w:val="24"/>
        </w:rPr>
        <w:t xml:space="preserve">, the two treaty-based reporting and oversight mechanisms that are of key importance </w:t>
      </w:r>
      <w:r w:rsidR="001C4081" w:rsidRPr="0043224D">
        <w:rPr>
          <w:rFonts w:ascii="Times New Roman" w:hAnsi="Times New Roman" w:cs="Times New Roman"/>
          <w:sz w:val="24"/>
          <w:szCs w:val="24"/>
        </w:rPr>
        <w:t>in monitoring and reporting on</w:t>
      </w:r>
      <w:r w:rsidR="009D6244" w:rsidRPr="0043224D">
        <w:rPr>
          <w:rFonts w:ascii="Times New Roman" w:hAnsi="Times New Roman" w:cs="Times New Roman"/>
          <w:sz w:val="24"/>
          <w:szCs w:val="24"/>
        </w:rPr>
        <w:t xml:space="preserve"> the</w:t>
      </w:r>
      <w:r w:rsidR="001C4081" w:rsidRPr="0043224D">
        <w:rPr>
          <w:rFonts w:ascii="Times New Roman" w:hAnsi="Times New Roman" w:cs="Times New Roman"/>
          <w:sz w:val="24"/>
          <w:szCs w:val="24"/>
        </w:rPr>
        <w:t xml:space="preserve"> implementation and compliance of indigenous rights are</w:t>
      </w:r>
      <w:r w:rsidR="007F7981" w:rsidRPr="0043224D">
        <w:rPr>
          <w:rFonts w:ascii="Times New Roman" w:hAnsi="Times New Roman" w:cs="Times New Roman"/>
          <w:sz w:val="24"/>
          <w:szCs w:val="24"/>
        </w:rPr>
        <w:t xml:space="preserve">: </w:t>
      </w:r>
      <w:r w:rsidR="001C4081" w:rsidRPr="0043224D">
        <w:rPr>
          <w:rFonts w:ascii="Times New Roman" w:hAnsi="Times New Roman" w:cs="Times New Roman"/>
          <w:sz w:val="24"/>
          <w:szCs w:val="24"/>
        </w:rPr>
        <w:t xml:space="preserve">the Committee on the Elimination of Racial Discrimination </w:t>
      </w:r>
      <w:r w:rsidR="00F76C5E" w:rsidRPr="0043224D">
        <w:rPr>
          <w:rFonts w:ascii="Times New Roman" w:hAnsi="Times New Roman" w:cs="Times New Roman"/>
          <w:sz w:val="24"/>
          <w:szCs w:val="24"/>
        </w:rPr>
        <w:t>(hereafter</w:t>
      </w:r>
      <w:r w:rsidR="000B6656" w:rsidRPr="0043224D">
        <w:rPr>
          <w:rFonts w:ascii="Times New Roman" w:hAnsi="Times New Roman" w:cs="Times New Roman"/>
          <w:sz w:val="24"/>
          <w:szCs w:val="24"/>
        </w:rPr>
        <w:t xml:space="preserve"> CERD Committee</w:t>
      </w:r>
      <w:r w:rsidR="00F76C5E" w:rsidRPr="0043224D">
        <w:rPr>
          <w:rFonts w:ascii="Times New Roman" w:hAnsi="Times New Roman" w:cs="Times New Roman"/>
          <w:sz w:val="24"/>
          <w:szCs w:val="24"/>
        </w:rPr>
        <w:t>)</w:t>
      </w:r>
      <w:r w:rsidR="007658CC" w:rsidRPr="0043224D">
        <w:rPr>
          <w:rFonts w:ascii="Times New Roman" w:hAnsi="Times New Roman" w:cs="Times New Roman"/>
          <w:sz w:val="24"/>
          <w:szCs w:val="24"/>
        </w:rPr>
        <w:t xml:space="preserve"> </w:t>
      </w:r>
      <w:r w:rsidR="001C4081" w:rsidRPr="0043224D">
        <w:rPr>
          <w:rFonts w:ascii="Times New Roman" w:hAnsi="Times New Roman" w:cs="Times New Roman"/>
          <w:sz w:val="24"/>
          <w:szCs w:val="24"/>
        </w:rPr>
        <w:t xml:space="preserve">which monitors racial equality and non-discrimination, established by the </w:t>
      </w:r>
      <w:r w:rsidR="00D540BF" w:rsidRPr="0043224D">
        <w:rPr>
          <w:rFonts w:ascii="Times New Roman" w:hAnsi="Times New Roman" w:cs="Times New Roman"/>
          <w:sz w:val="24"/>
          <w:szCs w:val="24"/>
        </w:rPr>
        <w:t xml:space="preserve">International </w:t>
      </w:r>
      <w:r w:rsidR="001C4081" w:rsidRPr="0043224D">
        <w:rPr>
          <w:rFonts w:ascii="Times New Roman" w:hAnsi="Times New Roman" w:cs="Times New Roman"/>
          <w:sz w:val="24"/>
          <w:szCs w:val="24"/>
        </w:rPr>
        <w:t>Convention on the Elimination of All Forms of Racial Discrimination</w:t>
      </w:r>
      <w:r w:rsidR="00D540BF" w:rsidRPr="0043224D">
        <w:rPr>
          <w:rFonts w:ascii="Times New Roman" w:hAnsi="Times New Roman" w:cs="Times New Roman"/>
          <w:sz w:val="24"/>
          <w:szCs w:val="24"/>
        </w:rPr>
        <w:t xml:space="preserve"> (hereafter ICERD)</w:t>
      </w:r>
      <w:r w:rsidR="00BE167C" w:rsidRPr="0043224D">
        <w:rPr>
          <w:rFonts w:ascii="Times New Roman" w:hAnsi="Times New Roman" w:cs="Times New Roman"/>
          <w:sz w:val="24"/>
          <w:szCs w:val="24"/>
        </w:rPr>
        <w:t>,</w:t>
      </w:r>
      <w:r w:rsidR="001C4081" w:rsidRPr="0043224D">
        <w:rPr>
          <w:rStyle w:val="FootnoteReference"/>
          <w:rFonts w:ascii="Times New Roman" w:hAnsi="Times New Roman" w:cs="Times New Roman"/>
          <w:sz w:val="24"/>
          <w:szCs w:val="24"/>
        </w:rPr>
        <w:footnoteReference w:id="112"/>
      </w:r>
      <w:r w:rsidR="00BE167C" w:rsidRPr="0043224D">
        <w:rPr>
          <w:rFonts w:ascii="Times New Roman" w:hAnsi="Times New Roman" w:cs="Times New Roman"/>
          <w:sz w:val="24"/>
          <w:szCs w:val="24"/>
        </w:rPr>
        <w:t xml:space="preserve"> </w:t>
      </w:r>
      <w:r w:rsidR="001C4081" w:rsidRPr="0043224D">
        <w:rPr>
          <w:rFonts w:ascii="Times New Roman" w:hAnsi="Times New Roman" w:cs="Times New Roman"/>
          <w:sz w:val="24"/>
          <w:szCs w:val="24"/>
        </w:rPr>
        <w:t>and the Human Rights Committee</w:t>
      </w:r>
      <w:r w:rsidR="00BE167C" w:rsidRPr="0043224D">
        <w:rPr>
          <w:rFonts w:ascii="Times New Roman" w:hAnsi="Times New Roman" w:cs="Times New Roman"/>
          <w:sz w:val="24"/>
          <w:szCs w:val="24"/>
        </w:rPr>
        <w:t xml:space="preserve"> (hereafter HRC)</w:t>
      </w:r>
      <w:r w:rsidR="001C4081" w:rsidRPr="0043224D">
        <w:rPr>
          <w:rFonts w:ascii="Times New Roman" w:hAnsi="Times New Roman" w:cs="Times New Roman"/>
          <w:sz w:val="24"/>
          <w:szCs w:val="24"/>
        </w:rPr>
        <w:t>, established by the International Covenant on Civil and Political rights</w:t>
      </w:r>
      <w:r w:rsidR="000B6656" w:rsidRPr="0043224D">
        <w:rPr>
          <w:rFonts w:ascii="Times New Roman" w:hAnsi="Times New Roman" w:cs="Times New Roman"/>
          <w:sz w:val="24"/>
          <w:szCs w:val="24"/>
        </w:rPr>
        <w:t xml:space="preserve"> (hereafter ICCPR)</w:t>
      </w:r>
      <w:r w:rsidR="001C4081" w:rsidRPr="0043224D">
        <w:rPr>
          <w:rFonts w:ascii="Times New Roman" w:hAnsi="Times New Roman" w:cs="Times New Roman"/>
          <w:sz w:val="24"/>
          <w:szCs w:val="24"/>
        </w:rPr>
        <w:t>.</w:t>
      </w:r>
      <w:r w:rsidR="001C4081" w:rsidRPr="0043224D">
        <w:rPr>
          <w:rStyle w:val="FootnoteReference"/>
          <w:rFonts w:ascii="Times New Roman" w:hAnsi="Times New Roman" w:cs="Times New Roman"/>
          <w:sz w:val="24"/>
          <w:szCs w:val="24"/>
        </w:rPr>
        <w:footnoteReference w:id="113"/>
      </w:r>
    </w:p>
    <w:p w:rsidR="00EB5784" w:rsidRPr="0043224D" w:rsidRDefault="00060EEC" w:rsidP="0043224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p>
    <w:p w:rsidR="00F76C5E" w:rsidRPr="0043224D" w:rsidRDefault="003D26B4"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In 1997, the</w:t>
      </w:r>
      <w:r w:rsidR="000B6656" w:rsidRPr="0043224D">
        <w:rPr>
          <w:rFonts w:ascii="Times New Roman" w:hAnsi="Times New Roman" w:cs="Times New Roman"/>
          <w:sz w:val="24"/>
          <w:szCs w:val="24"/>
        </w:rPr>
        <w:t xml:space="preserve"> </w:t>
      </w:r>
      <w:r w:rsidR="000529A9" w:rsidRPr="0043224D">
        <w:rPr>
          <w:rFonts w:ascii="Times New Roman" w:hAnsi="Times New Roman" w:cs="Times New Roman"/>
          <w:sz w:val="24"/>
          <w:szCs w:val="24"/>
        </w:rPr>
        <w:t>CERD Committee explicitly</w:t>
      </w:r>
      <w:r w:rsidRPr="0043224D">
        <w:rPr>
          <w:rFonts w:ascii="Times New Roman" w:hAnsi="Times New Roman" w:cs="Times New Roman"/>
          <w:sz w:val="24"/>
          <w:szCs w:val="24"/>
        </w:rPr>
        <w:t xml:space="preserve"> recognised and</w:t>
      </w:r>
      <w:r w:rsidR="000B6656" w:rsidRPr="0043224D">
        <w:rPr>
          <w:rFonts w:ascii="Times New Roman" w:hAnsi="Times New Roman" w:cs="Times New Roman"/>
          <w:sz w:val="24"/>
          <w:szCs w:val="24"/>
        </w:rPr>
        <w:t xml:space="preserve"> </w:t>
      </w:r>
      <w:r w:rsidR="009D6244" w:rsidRPr="0043224D">
        <w:rPr>
          <w:rFonts w:ascii="Times New Roman" w:hAnsi="Times New Roman" w:cs="Times New Roman"/>
          <w:sz w:val="24"/>
          <w:szCs w:val="24"/>
        </w:rPr>
        <w:t>addressed the interwoven</w:t>
      </w:r>
      <w:r w:rsidRPr="0043224D">
        <w:rPr>
          <w:rFonts w:ascii="Times New Roman" w:hAnsi="Times New Roman" w:cs="Times New Roman"/>
          <w:sz w:val="24"/>
          <w:szCs w:val="24"/>
        </w:rPr>
        <w:t xml:space="preserve"> issues of culture, loss of land, and by implication displacement and dispossession regarding indigenous peoples</w:t>
      </w:r>
      <w:r w:rsidR="00BE167C" w:rsidRPr="0043224D">
        <w:rPr>
          <w:rFonts w:ascii="Times New Roman" w:hAnsi="Times New Roman" w:cs="Times New Roman"/>
          <w:sz w:val="24"/>
          <w:szCs w:val="24"/>
        </w:rPr>
        <w:t xml:space="preserve">. </w:t>
      </w:r>
      <w:r w:rsidR="001032A5" w:rsidRPr="0043224D">
        <w:rPr>
          <w:rFonts w:ascii="Times New Roman" w:hAnsi="Times New Roman" w:cs="Times New Roman"/>
          <w:sz w:val="24"/>
          <w:szCs w:val="24"/>
        </w:rPr>
        <w:t xml:space="preserve"> </w:t>
      </w:r>
      <w:r w:rsidR="009D6244" w:rsidRPr="0043224D">
        <w:rPr>
          <w:rFonts w:ascii="Times New Roman" w:hAnsi="Times New Roman" w:cs="Times New Roman"/>
          <w:sz w:val="24"/>
          <w:szCs w:val="24"/>
        </w:rPr>
        <w:t>The</w:t>
      </w:r>
      <w:r w:rsidR="00BE167C" w:rsidRPr="0043224D">
        <w:rPr>
          <w:rFonts w:ascii="Times New Roman" w:hAnsi="Times New Roman" w:cs="Times New Roman"/>
          <w:sz w:val="24"/>
          <w:szCs w:val="24"/>
        </w:rPr>
        <w:t xml:space="preserve"> Committee</w:t>
      </w:r>
      <w:r w:rsidR="001032A5" w:rsidRPr="0043224D">
        <w:rPr>
          <w:rFonts w:ascii="Times New Roman" w:hAnsi="Times New Roman" w:cs="Times New Roman"/>
          <w:sz w:val="24"/>
          <w:szCs w:val="24"/>
        </w:rPr>
        <w:t xml:space="preserve"> </w:t>
      </w:r>
      <w:r w:rsidR="00BE167C" w:rsidRPr="0043224D">
        <w:rPr>
          <w:rFonts w:ascii="Times New Roman" w:hAnsi="Times New Roman" w:cs="Times New Roman"/>
          <w:sz w:val="24"/>
          <w:szCs w:val="24"/>
        </w:rPr>
        <w:t>identified both</w:t>
      </w:r>
      <w:r w:rsidR="00614502" w:rsidRPr="0043224D">
        <w:rPr>
          <w:rFonts w:ascii="Times New Roman" w:hAnsi="Times New Roman" w:cs="Times New Roman"/>
          <w:sz w:val="24"/>
          <w:szCs w:val="24"/>
        </w:rPr>
        <w:t xml:space="preserve"> the historical narrative</w:t>
      </w:r>
      <w:r w:rsidR="00BE167C" w:rsidRPr="0043224D">
        <w:rPr>
          <w:rFonts w:ascii="Times New Roman" w:hAnsi="Times New Roman" w:cs="Times New Roman"/>
          <w:sz w:val="24"/>
          <w:szCs w:val="24"/>
        </w:rPr>
        <w:t>,</w:t>
      </w:r>
      <w:r w:rsidR="00614502" w:rsidRPr="0043224D">
        <w:rPr>
          <w:rFonts w:ascii="Times New Roman" w:hAnsi="Times New Roman" w:cs="Times New Roman"/>
          <w:sz w:val="24"/>
          <w:szCs w:val="24"/>
        </w:rPr>
        <w:t xml:space="preserve"> and</w:t>
      </w:r>
      <w:r w:rsidR="009D6244" w:rsidRPr="0043224D">
        <w:rPr>
          <w:rFonts w:ascii="Times New Roman" w:hAnsi="Times New Roman" w:cs="Times New Roman"/>
          <w:sz w:val="24"/>
          <w:szCs w:val="24"/>
        </w:rPr>
        <w:t xml:space="preserve"> correspondingly</w:t>
      </w:r>
      <w:r w:rsidR="00576A35" w:rsidRPr="0043224D">
        <w:rPr>
          <w:rFonts w:ascii="Times New Roman" w:hAnsi="Times New Roman" w:cs="Times New Roman"/>
          <w:sz w:val="24"/>
          <w:szCs w:val="24"/>
        </w:rPr>
        <w:t>,</w:t>
      </w:r>
      <w:r w:rsidR="009D6244" w:rsidRPr="0043224D">
        <w:rPr>
          <w:rFonts w:ascii="Times New Roman" w:hAnsi="Times New Roman" w:cs="Times New Roman"/>
          <w:sz w:val="24"/>
          <w:szCs w:val="24"/>
        </w:rPr>
        <w:t xml:space="preserve"> the</w:t>
      </w:r>
      <w:r w:rsidR="00614502" w:rsidRPr="0043224D">
        <w:rPr>
          <w:rFonts w:ascii="Times New Roman" w:hAnsi="Times New Roman" w:cs="Times New Roman"/>
          <w:sz w:val="24"/>
          <w:szCs w:val="24"/>
        </w:rPr>
        <w:t xml:space="preserve"> contemporary agents</w:t>
      </w:r>
      <w:r w:rsidR="001032A5" w:rsidRPr="0043224D">
        <w:rPr>
          <w:rFonts w:ascii="Times New Roman" w:hAnsi="Times New Roman" w:cs="Times New Roman"/>
          <w:sz w:val="24"/>
          <w:szCs w:val="24"/>
        </w:rPr>
        <w:t xml:space="preserve"> responsible</w:t>
      </w:r>
      <w:r w:rsidR="00BE167C" w:rsidRPr="0043224D">
        <w:rPr>
          <w:rFonts w:ascii="Times New Roman" w:hAnsi="Times New Roman" w:cs="Times New Roman"/>
          <w:sz w:val="24"/>
          <w:szCs w:val="24"/>
        </w:rPr>
        <w:t xml:space="preserve"> for displacement</w:t>
      </w:r>
      <w:r w:rsidRPr="0043224D">
        <w:rPr>
          <w:rFonts w:ascii="Times New Roman" w:hAnsi="Times New Roman" w:cs="Times New Roman"/>
          <w:sz w:val="24"/>
          <w:szCs w:val="24"/>
        </w:rPr>
        <w:t xml:space="preserve">. </w:t>
      </w:r>
    </w:p>
    <w:p w:rsidR="003D26B4" w:rsidRPr="0043224D" w:rsidRDefault="003D26B4" w:rsidP="0043224D">
      <w:pPr>
        <w:spacing w:line="360" w:lineRule="auto"/>
        <w:ind w:left="720"/>
        <w:rPr>
          <w:rFonts w:ascii="Times New Roman" w:hAnsi="Times New Roman" w:cs="Times New Roman"/>
          <w:i/>
          <w:sz w:val="24"/>
          <w:szCs w:val="24"/>
        </w:rPr>
      </w:pPr>
      <w:r w:rsidRPr="0043224D">
        <w:rPr>
          <w:rFonts w:ascii="Times New Roman" w:hAnsi="Times New Roman" w:cs="Times New Roman"/>
          <w:i/>
          <w:color w:val="000000"/>
          <w:sz w:val="24"/>
          <w:szCs w:val="24"/>
          <w:shd w:val="clear" w:color="auto" w:fill="FFFFFF"/>
        </w:rPr>
        <w:t>The Committee is conscious of the fact that in many regions of the world indigenous peoples have been, and are still being, discriminated against and deprived of their human rights and fundamental freedoms and in particular that they have lost their land and resources to colonists, commercial companies and State enterprises. Consequently, the preservation of their culture and their historical identity has been and still is jeopardized.</w:t>
      </w:r>
      <w:r w:rsidRPr="0043224D">
        <w:rPr>
          <w:rStyle w:val="FootnoteReference"/>
          <w:rFonts w:ascii="Times New Roman" w:hAnsi="Times New Roman" w:cs="Times New Roman"/>
          <w:i/>
          <w:color w:val="000000"/>
          <w:sz w:val="24"/>
          <w:szCs w:val="24"/>
          <w:shd w:val="clear" w:color="auto" w:fill="FFFFFF"/>
        </w:rPr>
        <w:footnoteReference w:id="114"/>
      </w:r>
    </w:p>
    <w:p w:rsidR="003F2016" w:rsidRPr="0043224D" w:rsidRDefault="00CD0D57" w:rsidP="0043224D">
      <w:pPr>
        <w:spacing w:line="360" w:lineRule="auto"/>
        <w:rPr>
          <w:rFonts w:ascii="Times New Roman" w:hAnsi="Times New Roman" w:cs="Times New Roman"/>
          <w:sz w:val="24"/>
          <w:szCs w:val="24"/>
          <w:lang w:val="en-US"/>
        </w:rPr>
      </w:pPr>
      <w:r w:rsidRPr="0043224D">
        <w:rPr>
          <w:rFonts w:ascii="Times New Roman" w:hAnsi="Times New Roman" w:cs="Times New Roman"/>
          <w:sz w:val="24"/>
          <w:szCs w:val="24"/>
        </w:rPr>
        <w:t xml:space="preserve">The </w:t>
      </w:r>
      <w:r w:rsidR="007658CC" w:rsidRPr="0043224D">
        <w:rPr>
          <w:rFonts w:ascii="Times New Roman" w:hAnsi="Times New Roman" w:cs="Times New Roman"/>
          <w:sz w:val="24"/>
          <w:szCs w:val="24"/>
        </w:rPr>
        <w:t>CERD</w:t>
      </w:r>
      <w:r w:rsidRPr="0043224D">
        <w:rPr>
          <w:rFonts w:ascii="Times New Roman" w:hAnsi="Times New Roman" w:cs="Times New Roman"/>
          <w:sz w:val="24"/>
          <w:szCs w:val="24"/>
        </w:rPr>
        <w:t xml:space="preserve"> Committee’s</w:t>
      </w:r>
      <w:r w:rsidR="007658CC" w:rsidRPr="0043224D">
        <w:rPr>
          <w:rFonts w:ascii="Times New Roman" w:hAnsi="Times New Roman" w:cs="Times New Roman"/>
          <w:sz w:val="24"/>
          <w:szCs w:val="24"/>
        </w:rPr>
        <w:t xml:space="preserve"> observation echoes similar sentiments expressed by the ACPHR</w:t>
      </w:r>
      <w:r w:rsidRPr="0043224D">
        <w:rPr>
          <w:rFonts w:ascii="Times New Roman" w:hAnsi="Times New Roman" w:cs="Times New Roman"/>
          <w:sz w:val="24"/>
          <w:szCs w:val="24"/>
        </w:rPr>
        <w:t>,</w:t>
      </w:r>
      <w:r w:rsidRPr="0043224D">
        <w:rPr>
          <w:rStyle w:val="FootnoteReference"/>
          <w:rFonts w:ascii="Times New Roman" w:hAnsi="Times New Roman" w:cs="Times New Roman"/>
          <w:sz w:val="24"/>
          <w:szCs w:val="24"/>
        </w:rPr>
        <w:footnoteReference w:id="115"/>
      </w:r>
      <w:r w:rsidR="007658CC" w:rsidRPr="0043224D">
        <w:rPr>
          <w:rFonts w:ascii="Times New Roman" w:hAnsi="Times New Roman" w:cs="Times New Roman"/>
          <w:sz w:val="24"/>
          <w:szCs w:val="24"/>
        </w:rPr>
        <w:t xml:space="preserve"> </w:t>
      </w:r>
      <w:r w:rsidR="009D6244" w:rsidRPr="0043224D">
        <w:rPr>
          <w:rFonts w:ascii="Times New Roman" w:hAnsi="Times New Roman" w:cs="Times New Roman"/>
          <w:sz w:val="24"/>
          <w:szCs w:val="24"/>
        </w:rPr>
        <w:t>in that both bodies isolate</w:t>
      </w:r>
      <w:r w:rsidRPr="0043224D">
        <w:rPr>
          <w:rFonts w:ascii="Times New Roman" w:hAnsi="Times New Roman" w:cs="Times New Roman"/>
          <w:sz w:val="24"/>
          <w:szCs w:val="24"/>
        </w:rPr>
        <w:t xml:space="preserve"> specifically the historical continuum linking colonialism, commercial companies and state enterprises as the principal agents of</w:t>
      </w:r>
      <w:r w:rsidR="00576A35" w:rsidRPr="0043224D">
        <w:rPr>
          <w:rFonts w:ascii="Times New Roman" w:hAnsi="Times New Roman" w:cs="Times New Roman"/>
          <w:sz w:val="24"/>
          <w:szCs w:val="24"/>
        </w:rPr>
        <w:t xml:space="preserve"> displacement and dispossession, a process depicted by some </w:t>
      </w:r>
      <w:r w:rsidR="000F2B90" w:rsidRPr="0043224D">
        <w:rPr>
          <w:rFonts w:ascii="Times New Roman" w:hAnsi="Times New Roman" w:cs="Times New Roman"/>
          <w:sz w:val="24"/>
          <w:szCs w:val="24"/>
        </w:rPr>
        <w:t xml:space="preserve">as </w:t>
      </w:r>
      <w:r w:rsidR="00576A35" w:rsidRPr="0043224D">
        <w:rPr>
          <w:rFonts w:ascii="Times New Roman" w:hAnsi="Times New Roman" w:cs="Times New Roman"/>
          <w:sz w:val="24"/>
          <w:szCs w:val="24"/>
        </w:rPr>
        <w:t>neo-colonialism</w:t>
      </w:r>
      <w:r w:rsidR="000F2B90" w:rsidRPr="0043224D">
        <w:rPr>
          <w:rFonts w:ascii="Times New Roman" w:hAnsi="Times New Roman" w:cs="Times New Roman"/>
          <w:sz w:val="24"/>
          <w:szCs w:val="24"/>
        </w:rPr>
        <w:t>.</w:t>
      </w:r>
      <w:r w:rsidR="000F2B90" w:rsidRPr="0043224D">
        <w:rPr>
          <w:rStyle w:val="FootnoteReference"/>
          <w:rFonts w:ascii="Times New Roman" w:hAnsi="Times New Roman" w:cs="Times New Roman"/>
          <w:sz w:val="24"/>
          <w:szCs w:val="24"/>
        </w:rPr>
        <w:footnoteReference w:id="116"/>
      </w:r>
      <w:r w:rsidR="000F2B90" w:rsidRPr="0043224D">
        <w:rPr>
          <w:rFonts w:ascii="Times New Roman" w:hAnsi="Times New Roman" w:cs="Times New Roman"/>
          <w:sz w:val="24"/>
          <w:szCs w:val="24"/>
        </w:rPr>
        <w:t xml:space="preserve"> </w:t>
      </w:r>
      <w:r w:rsidR="00D540BF" w:rsidRPr="0043224D">
        <w:rPr>
          <w:rFonts w:ascii="Times New Roman" w:hAnsi="Times New Roman" w:cs="Times New Roman"/>
          <w:sz w:val="24"/>
          <w:szCs w:val="24"/>
        </w:rPr>
        <w:t xml:space="preserve">The CERD </w:t>
      </w:r>
      <w:r w:rsidR="00E92EB4" w:rsidRPr="0043224D">
        <w:rPr>
          <w:rFonts w:ascii="Times New Roman" w:hAnsi="Times New Roman" w:cs="Times New Roman"/>
          <w:sz w:val="24"/>
          <w:szCs w:val="24"/>
        </w:rPr>
        <w:t>C</w:t>
      </w:r>
      <w:r w:rsidR="00D540BF" w:rsidRPr="0043224D">
        <w:rPr>
          <w:rFonts w:ascii="Times New Roman" w:hAnsi="Times New Roman" w:cs="Times New Roman"/>
          <w:sz w:val="24"/>
          <w:szCs w:val="24"/>
        </w:rPr>
        <w:t>ommittee</w:t>
      </w:r>
      <w:r w:rsidR="00E92EB4" w:rsidRPr="0043224D">
        <w:rPr>
          <w:rFonts w:ascii="Times New Roman" w:hAnsi="Times New Roman" w:cs="Times New Roman"/>
          <w:sz w:val="24"/>
          <w:szCs w:val="24"/>
        </w:rPr>
        <w:t>, an autonomous body made up of human rights experts</w:t>
      </w:r>
      <w:r w:rsidR="003C1BB7" w:rsidRPr="0043224D">
        <w:rPr>
          <w:rFonts w:ascii="Times New Roman" w:hAnsi="Times New Roman" w:cs="Times New Roman"/>
          <w:sz w:val="24"/>
          <w:szCs w:val="24"/>
        </w:rPr>
        <w:t>,</w:t>
      </w:r>
      <w:r w:rsidR="00D540BF" w:rsidRPr="0043224D">
        <w:rPr>
          <w:rFonts w:ascii="Times New Roman" w:hAnsi="Times New Roman" w:cs="Times New Roman"/>
          <w:sz w:val="24"/>
          <w:szCs w:val="24"/>
        </w:rPr>
        <w:t xml:space="preserve"> m</w:t>
      </w:r>
      <w:r w:rsidR="00E92EB4" w:rsidRPr="0043224D">
        <w:rPr>
          <w:rFonts w:ascii="Times New Roman" w:hAnsi="Times New Roman" w:cs="Times New Roman"/>
          <w:sz w:val="24"/>
          <w:szCs w:val="24"/>
        </w:rPr>
        <w:t>onitors imp</w:t>
      </w:r>
      <w:r w:rsidR="005E60AE" w:rsidRPr="0043224D">
        <w:rPr>
          <w:rFonts w:ascii="Times New Roman" w:hAnsi="Times New Roman" w:cs="Times New Roman"/>
          <w:sz w:val="24"/>
          <w:szCs w:val="24"/>
        </w:rPr>
        <w:t>lementation of ICERD, addresses</w:t>
      </w:r>
      <w:r w:rsidR="00E92EB4" w:rsidRPr="0043224D">
        <w:rPr>
          <w:rFonts w:ascii="Times New Roman" w:hAnsi="Times New Roman" w:cs="Times New Roman"/>
          <w:sz w:val="24"/>
          <w:szCs w:val="24"/>
        </w:rPr>
        <w:t xml:space="preserve"> its concerns and recommendations in response to reports submitted by state parties to the convention. The </w:t>
      </w:r>
      <w:r w:rsidR="00576A35" w:rsidRPr="0043224D">
        <w:rPr>
          <w:rFonts w:ascii="Times New Roman" w:hAnsi="Times New Roman" w:cs="Times New Roman"/>
          <w:sz w:val="24"/>
          <w:szCs w:val="24"/>
        </w:rPr>
        <w:t>C</w:t>
      </w:r>
      <w:r w:rsidR="00E92EB4" w:rsidRPr="0043224D">
        <w:rPr>
          <w:rFonts w:ascii="Times New Roman" w:hAnsi="Times New Roman" w:cs="Times New Roman"/>
          <w:sz w:val="24"/>
          <w:szCs w:val="24"/>
        </w:rPr>
        <w:t>ommittee has regularly interpreted the norm of non-discrimination</w:t>
      </w:r>
      <w:r w:rsidR="003F2016" w:rsidRPr="0043224D">
        <w:rPr>
          <w:rFonts w:ascii="Times New Roman" w:hAnsi="Times New Roman" w:cs="Times New Roman"/>
          <w:sz w:val="24"/>
          <w:szCs w:val="24"/>
        </w:rPr>
        <w:t xml:space="preserve"> with regards to</w:t>
      </w:r>
      <w:r w:rsidR="00DD1DB1" w:rsidRPr="0043224D">
        <w:rPr>
          <w:rFonts w:ascii="Times New Roman" w:hAnsi="Times New Roman" w:cs="Times New Roman"/>
          <w:sz w:val="24"/>
          <w:szCs w:val="24"/>
        </w:rPr>
        <w:t xml:space="preserve"> indigenous rights over land, resources and territories. As an</w:t>
      </w:r>
      <w:r w:rsidR="000A5BBD" w:rsidRPr="0043224D">
        <w:rPr>
          <w:rFonts w:ascii="Times New Roman" w:hAnsi="Times New Roman" w:cs="Times New Roman"/>
          <w:sz w:val="24"/>
          <w:szCs w:val="24"/>
        </w:rPr>
        <w:t xml:space="preserve"> illustrative</w:t>
      </w:r>
      <w:r w:rsidR="00DD1DB1" w:rsidRPr="0043224D">
        <w:rPr>
          <w:rFonts w:ascii="Times New Roman" w:hAnsi="Times New Roman" w:cs="Times New Roman"/>
          <w:sz w:val="24"/>
          <w:szCs w:val="24"/>
        </w:rPr>
        <w:t xml:space="preserve"> instance of this focus, in </w:t>
      </w:r>
      <w:r w:rsidR="003F2016" w:rsidRPr="0043224D">
        <w:rPr>
          <w:rFonts w:ascii="Times New Roman" w:hAnsi="Times New Roman" w:cs="Times New Roman"/>
          <w:sz w:val="24"/>
          <w:szCs w:val="24"/>
        </w:rPr>
        <w:t xml:space="preserve">March </w:t>
      </w:r>
      <w:r w:rsidR="00DD1DB1" w:rsidRPr="0043224D">
        <w:rPr>
          <w:rFonts w:ascii="Times New Roman" w:hAnsi="Times New Roman" w:cs="Times New Roman"/>
          <w:sz w:val="24"/>
          <w:szCs w:val="24"/>
        </w:rPr>
        <w:t xml:space="preserve">2010 the committee addressed the issue of </w:t>
      </w:r>
      <w:r w:rsidR="003F2016" w:rsidRPr="0043224D">
        <w:rPr>
          <w:rFonts w:ascii="Times New Roman" w:hAnsi="Times New Roman" w:cs="Times New Roman"/>
          <w:sz w:val="24"/>
          <w:szCs w:val="24"/>
        </w:rPr>
        <w:t>the balance between the imperatives of economic development and the rights of indigenous peoples in Cambodia.</w:t>
      </w:r>
      <w:r w:rsidR="003F2016" w:rsidRPr="0043224D">
        <w:rPr>
          <w:rStyle w:val="FootnoteReference"/>
          <w:rFonts w:ascii="Times New Roman" w:hAnsi="Times New Roman" w:cs="Times New Roman"/>
          <w:sz w:val="24"/>
          <w:szCs w:val="24"/>
        </w:rPr>
        <w:footnoteReference w:id="117"/>
      </w:r>
      <w:r w:rsidR="003F2016" w:rsidRPr="0043224D">
        <w:rPr>
          <w:rFonts w:ascii="Times New Roman" w:hAnsi="Times New Roman" w:cs="Times New Roman"/>
          <w:sz w:val="24"/>
          <w:szCs w:val="24"/>
        </w:rPr>
        <w:t xml:space="preserve"> </w:t>
      </w:r>
      <w:r w:rsidR="001B1356" w:rsidRPr="0043224D">
        <w:rPr>
          <w:rFonts w:ascii="Times New Roman" w:hAnsi="Times New Roman" w:cs="Times New Roman"/>
          <w:sz w:val="24"/>
          <w:szCs w:val="24"/>
        </w:rPr>
        <w:t>The committee was specifically concerned with acts of violence during the forced evictions o</w:t>
      </w:r>
      <w:r w:rsidR="00056341" w:rsidRPr="0043224D">
        <w:rPr>
          <w:rFonts w:ascii="Times New Roman" w:hAnsi="Times New Roman" w:cs="Times New Roman"/>
          <w:sz w:val="24"/>
          <w:szCs w:val="24"/>
        </w:rPr>
        <w:t>f</w:t>
      </w:r>
      <w:r w:rsidR="001B1356" w:rsidRPr="0043224D">
        <w:rPr>
          <w:rFonts w:ascii="Times New Roman" w:hAnsi="Times New Roman" w:cs="Times New Roman"/>
          <w:sz w:val="24"/>
          <w:szCs w:val="24"/>
        </w:rPr>
        <w:t xml:space="preserve"> indigenous groups, and the tendency of state actors to, “[</w:t>
      </w:r>
      <w:r w:rsidR="001B1356" w:rsidRPr="0043224D">
        <w:rPr>
          <w:rFonts w:ascii="Times New Roman" w:hAnsi="Times New Roman" w:cs="Times New Roman"/>
          <w:sz w:val="24"/>
          <w:szCs w:val="24"/>
          <w:lang w:val="en-US"/>
        </w:rPr>
        <w:t>P]ress charges against and arrest indigenous villagers, when they protest against their forced eviction or contest the granting of a concession on indigenous</w:t>
      </w:r>
      <w:r w:rsidR="000F2B90" w:rsidRPr="0043224D">
        <w:rPr>
          <w:rFonts w:ascii="Times New Roman" w:hAnsi="Times New Roman" w:cs="Times New Roman"/>
          <w:sz w:val="24"/>
          <w:szCs w:val="24"/>
          <w:lang w:val="en-US"/>
        </w:rPr>
        <w:t xml:space="preserve"> land.”</w:t>
      </w:r>
      <w:r w:rsidR="001B1356" w:rsidRPr="0043224D">
        <w:rPr>
          <w:rStyle w:val="FootnoteReference"/>
          <w:rFonts w:ascii="Times New Roman" w:hAnsi="Times New Roman" w:cs="Times New Roman"/>
          <w:sz w:val="24"/>
          <w:szCs w:val="24"/>
          <w:lang w:val="en-US"/>
        </w:rPr>
        <w:footnoteReference w:id="118"/>
      </w:r>
      <w:r w:rsidR="001B1356" w:rsidRPr="0043224D">
        <w:rPr>
          <w:rFonts w:ascii="Times New Roman" w:hAnsi="Times New Roman" w:cs="Times New Roman"/>
          <w:sz w:val="24"/>
          <w:szCs w:val="24"/>
          <w:lang w:val="en-US"/>
        </w:rPr>
        <w:t xml:space="preserve">  Rather pointedly, this observation was</w:t>
      </w:r>
      <w:r w:rsidR="00056341" w:rsidRPr="0043224D">
        <w:rPr>
          <w:rFonts w:ascii="Times New Roman" w:hAnsi="Times New Roman" w:cs="Times New Roman"/>
          <w:sz w:val="24"/>
          <w:szCs w:val="24"/>
          <w:lang w:val="en-US"/>
        </w:rPr>
        <w:t xml:space="preserve"> immediately</w:t>
      </w:r>
      <w:r w:rsidR="001B1356" w:rsidRPr="0043224D">
        <w:rPr>
          <w:rFonts w:ascii="Times New Roman" w:hAnsi="Times New Roman" w:cs="Times New Roman"/>
          <w:sz w:val="24"/>
          <w:szCs w:val="24"/>
          <w:lang w:val="en-US"/>
        </w:rPr>
        <w:t xml:space="preserve"> preceded by an encouragement </w:t>
      </w:r>
      <w:r w:rsidR="00056341" w:rsidRPr="0043224D">
        <w:rPr>
          <w:rFonts w:ascii="Times New Roman" w:hAnsi="Times New Roman" w:cs="Times New Roman"/>
          <w:sz w:val="24"/>
          <w:szCs w:val="24"/>
          <w:lang w:val="en-US"/>
        </w:rPr>
        <w:t xml:space="preserve">to corporate business entities to </w:t>
      </w:r>
      <w:r w:rsidR="009D6244" w:rsidRPr="0043224D">
        <w:rPr>
          <w:rFonts w:ascii="Times New Roman" w:hAnsi="Times New Roman" w:cs="Times New Roman"/>
          <w:sz w:val="24"/>
          <w:szCs w:val="24"/>
          <w:lang w:val="en-US"/>
        </w:rPr>
        <w:t>“</w:t>
      </w:r>
      <w:r w:rsidR="00056341" w:rsidRPr="0043224D">
        <w:rPr>
          <w:rFonts w:ascii="Times New Roman" w:hAnsi="Times New Roman" w:cs="Times New Roman"/>
          <w:sz w:val="24"/>
          <w:szCs w:val="24"/>
          <w:lang w:val="en-US"/>
        </w:rPr>
        <w:t>consider their corporate social responsibility</w:t>
      </w:r>
      <w:r w:rsidR="009D6244" w:rsidRPr="0043224D">
        <w:rPr>
          <w:rFonts w:ascii="Times New Roman" w:hAnsi="Times New Roman" w:cs="Times New Roman"/>
          <w:sz w:val="24"/>
          <w:szCs w:val="24"/>
          <w:lang w:val="en-US"/>
        </w:rPr>
        <w:t>”</w:t>
      </w:r>
      <w:r w:rsidR="00056341" w:rsidRPr="0043224D">
        <w:rPr>
          <w:rFonts w:ascii="Times New Roman" w:hAnsi="Times New Roman" w:cs="Times New Roman"/>
          <w:sz w:val="24"/>
          <w:szCs w:val="24"/>
          <w:lang w:val="en-US"/>
        </w:rPr>
        <w:t xml:space="preserve"> when engaging in economic land concessions.</w:t>
      </w:r>
      <w:r w:rsidR="009D6244" w:rsidRPr="0043224D">
        <w:rPr>
          <w:rStyle w:val="FootnoteReference"/>
          <w:rFonts w:ascii="Times New Roman" w:hAnsi="Times New Roman" w:cs="Times New Roman"/>
          <w:sz w:val="24"/>
          <w:szCs w:val="24"/>
          <w:lang w:val="en-US"/>
        </w:rPr>
        <w:footnoteReference w:id="119"/>
      </w:r>
      <w:r w:rsidR="00056341" w:rsidRPr="0043224D">
        <w:rPr>
          <w:rFonts w:ascii="Times New Roman" w:hAnsi="Times New Roman" w:cs="Times New Roman"/>
          <w:sz w:val="24"/>
          <w:szCs w:val="24"/>
          <w:lang w:val="en-US"/>
        </w:rPr>
        <w:t xml:space="preserve"> The conclusion can therefore be drawn that the committee, in </w:t>
      </w:r>
      <w:r w:rsidR="000F15E2" w:rsidRPr="0043224D">
        <w:rPr>
          <w:rFonts w:ascii="Times New Roman" w:hAnsi="Times New Roman" w:cs="Times New Roman"/>
          <w:sz w:val="24"/>
          <w:szCs w:val="24"/>
          <w:lang w:val="en-US"/>
        </w:rPr>
        <w:t>explicitly</w:t>
      </w:r>
      <w:r w:rsidR="00056341" w:rsidRPr="0043224D">
        <w:rPr>
          <w:rFonts w:ascii="Times New Roman" w:hAnsi="Times New Roman" w:cs="Times New Roman"/>
          <w:sz w:val="24"/>
          <w:szCs w:val="24"/>
          <w:lang w:val="en-US"/>
        </w:rPr>
        <w:t xml:space="preserve"> linking</w:t>
      </w:r>
      <w:r w:rsidR="00CA3D2C" w:rsidRPr="0043224D">
        <w:rPr>
          <w:rFonts w:ascii="Times New Roman" w:hAnsi="Times New Roman" w:cs="Times New Roman"/>
          <w:sz w:val="24"/>
          <w:szCs w:val="24"/>
          <w:lang w:val="en-US"/>
        </w:rPr>
        <w:t xml:space="preserve"> the</w:t>
      </w:r>
      <w:r w:rsidR="00056341" w:rsidRPr="0043224D">
        <w:rPr>
          <w:rFonts w:ascii="Times New Roman" w:hAnsi="Times New Roman" w:cs="Times New Roman"/>
          <w:sz w:val="24"/>
          <w:szCs w:val="24"/>
          <w:lang w:val="en-US"/>
        </w:rPr>
        <w:t xml:space="preserve"> violent displacement</w:t>
      </w:r>
      <w:r w:rsidR="00CA3D2C" w:rsidRPr="0043224D">
        <w:rPr>
          <w:rFonts w:ascii="Times New Roman" w:hAnsi="Times New Roman" w:cs="Times New Roman"/>
          <w:sz w:val="24"/>
          <w:szCs w:val="24"/>
          <w:lang w:val="en-US"/>
        </w:rPr>
        <w:t xml:space="preserve"> of indigenous peoples</w:t>
      </w:r>
      <w:r w:rsidR="00056341" w:rsidRPr="0043224D">
        <w:rPr>
          <w:rFonts w:ascii="Times New Roman" w:hAnsi="Times New Roman" w:cs="Times New Roman"/>
          <w:sz w:val="24"/>
          <w:szCs w:val="24"/>
          <w:lang w:val="en-US"/>
        </w:rPr>
        <w:t xml:space="preserve"> with development projects, sought to highlight </w:t>
      </w:r>
      <w:r w:rsidR="000F15E2" w:rsidRPr="0043224D">
        <w:rPr>
          <w:rFonts w:ascii="Times New Roman" w:hAnsi="Times New Roman" w:cs="Times New Roman"/>
          <w:sz w:val="24"/>
          <w:szCs w:val="24"/>
          <w:lang w:val="en-US"/>
        </w:rPr>
        <w:t>not only the</w:t>
      </w:r>
      <w:r w:rsidR="00CA3D2C" w:rsidRPr="0043224D">
        <w:rPr>
          <w:rFonts w:ascii="Times New Roman" w:hAnsi="Times New Roman" w:cs="Times New Roman"/>
          <w:sz w:val="24"/>
          <w:szCs w:val="24"/>
          <w:lang w:val="en-US"/>
        </w:rPr>
        <w:t xml:space="preserve"> actions of state actors and</w:t>
      </w:r>
      <w:r w:rsidR="000F15E2" w:rsidRPr="0043224D">
        <w:rPr>
          <w:rFonts w:ascii="Times New Roman" w:hAnsi="Times New Roman" w:cs="Times New Roman"/>
          <w:sz w:val="24"/>
          <w:szCs w:val="24"/>
          <w:lang w:val="en-US"/>
        </w:rPr>
        <w:t xml:space="preserve"> failings of state responses, but also to highlight the involvement of corporate entities, possibly</w:t>
      </w:r>
      <w:r w:rsidR="007146EE" w:rsidRPr="0043224D">
        <w:rPr>
          <w:rFonts w:ascii="Times New Roman" w:hAnsi="Times New Roman" w:cs="Times New Roman"/>
          <w:sz w:val="24"/>
          <w:szCs w:val="24"/>
          <w:lang w:val="en-US"/>
        </w:rPr>
        <w:t xml:space="preserve"> both domestic and transnational corporations</w:t>
      </w:r>
      <w:r w:rsidR="000F15E2" w:rsidRPr="0043224D">
        <w:rPr>
          <w:rFonts w:ascii="Times New Roman" w:hAnsi="Times New Roman" w:cs="Times New Roman"/>
          <w:sz w:val="24"/>
          <w:szCs w:val="24"/>
          <w:lang w:val="en-US"/>
        </w:rPr>
        <w:t xml:space="preserve"> in grave human rights vi</w:t>
      </w:r>
      <w:r w:rsidR="00D513B1" w:rsidRPr="0043224D">
        <w:rPr>
          <w:rFonts w:ascii="Times New Roman" w:hAnsi="Times New Roman" w:cs="Times New Roman"/>
          <w:sz w:val="24"/>
          <w:szCs w:val="24"/>
          <w:lang w:val="en-US"/>
        </w:rPr>
        <w:t>olations of indigenous peoples.</w:t>
      </w:r>
      <w:r w:rsidR="00D513B1" w:rsidRPr="0043224D">
        <w:rPr>
          <w:rStyle w:val="FootnoteReference"/>
          <w:rFonts w:ascii="Times New Roman" w:hAnsi="Times New Roman" w:cs="Times New Roman"/>
          <w:sz w:val="24"/>
          <w:szCs w:val="24"/>
          <w:lang w:val="en-US"/>
        </w:rPr>
        <w:footnoteReference w:id="120"/>
      </w:r>
      <w:r w:rsidR="007146EE" w:rsidRPr="0043224D">
        <w:rPr>
          <w:rFonts w:ascii="Times New Roman" w:hAnsi="Times New Roman" w:cs="Times New Roman"/>
          <w:sz w:val="24"/>
          <w:szCs w:val="24"/>
          <w:lang w:val="en-US"/>
        </w:rPr>
        <w:t xml:space="preserve">                                                     </w:t>
      </w:r>
    </w:p>
    <w:p w:rsidR="00497853" w:rsidRPr="00497853" w:rsidRDefault="00D66008" w:rsidP="0043224D">
      <w:pPr>
        <w:pStyle w:val="Heading2"/>
        <w:spacing w:line="360" w:lineRule="auto"/>
      </w:pPr>
      <w:bookmarkStart w:id="27" w:name="_Toc399848359"/>
      <w:r>
        <w:rPr>
          <w:lang w:val="en-US"/>
        </w:rPr>
        <w:t xml:space="preserve">4.3 </w:t>
      </w:r>
      <w:r w:rsidR="00497853" w:rsidRPr="00497853">
        <w:rPr>
          <w:lang w:val="en-US"/>
        </w:rPr>
        <w:t>Human Rights Committee</w:t>
      </w:r>
      <w:bookmarkEnd w:id="27"/>
      <w:r w:rsidR="00497853" w:rsidRPr="00497853">
        <w:rPr>
          <w:lang w:val="en-US"/>
        </w:rPr>
        <w:t xml:space="preserve"> </w:t>
      </w:r>
    </w:p>
    <w:p w:rsidR="00B54880" w:rsidRPr="0043224D" w:rsidRDefault="00D66008" w:rsidP="00060EEC">
      <w:pPr>
        <w:pStyle w:val="NoSpacing"/>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Similar to the CERD committee</w:t>
      </w:r>
      <w:r w:rsidR="002E1BA2" w:rsidRPr="0043224D">
        <w:rPr>
          <w:rFonts w:ascii="Times New Roman" w:hAnsi="Times New Roman" w:cs="Times New Roman"/>
          <w:sz w:val="24"/>
          <w:szCs w:val="24"/>
        </w:rPr>
        <w:t xml:space="preserve">, </w:t>
      </w:r>
      <w:r w:rsidR="000F15E2" w:rsidRPr="0043224D">
        <w:rPr>
          <w:rFonts w:ascii="Times New Roman" w:hAnsi="Times New Roman" w:cs="Times New Roman"/>
          <w:sz w:val="24"/>
          <w:szCs w:val="24"/>
        </w:rPr>
        <w:t>the HRC has also sought to bring indigenous peoples rights and concerns</w:t>
      </w:r>
      <w:r w:rsidR="00780C95" w:rsidRPr="0043224D">
        <w:rPr>
          <w:rFonts w:ascii="Times New Roman" w:hAnsi="Times New Roman" w:cs="Times New Roman"/>
          <w:sz w:val="24"/>
          <w:szCs w:val="24"/>
        </w:rPr>
        <w:t>,</w:t>
      </w:r>
      <w:r w:rsidR="000F15E2" w:rsidRPr="0043224D">
        <w:rPr>
          <w:rFonts w:ascii="Times New Roman" w:hAnsi="Times New Roman" w:cs="Times New Roman"/>
          <w:sz w:val="24"/>
          <w:szCs w:val="24"/>
        </w:rPr>
        <w:t xml:space="preserve"> </w:t>
      </w:r>
      <w:r w:rsidR="00053A68" w:rsidRPr="0043224D">
        <w:rPr>
          <w:rFonts w:ascii="Times New Roman" w:hAnsi="Times New Roman" w:cs="Times New Roman"/>
          <w:sz w:val="24"/>
          <w:szCs w:val="24"/>
        </w:rPr>
        <w:t>under the ambit of minority rights in article 27</w:t>
      </w:r>
      <w:r w:rsidR="000F15E2" w:rsidRPr="0043224D">
        <w:rPr>
          <w:rFonts w:ascii="Times New Roman" w:hAnsi="Times New Roman" w:cs="Times New Roman"/>
          <w:sz w:val="24"/>
          <w:szCs w:val="24"/>
        </w:rPr>
        <w:t xml:space="preserve"> of the </w:t>
      </w:r>
      <w:r w:rsidR="00053A68" w:rsidRPr="0043224D">
        <w:rPr>
          <w:rFonts w:ascii="Times New Roman" w:hAnsi="Times New Roman" w:cs="Times New Roman"/>
          <w:sz w:val="24"/>
          <w:szCs w:val="24"/>
        </w:rPr>
        <w:t>ICCPR</w:t>
      </w:r>
      <w:r w:rsidR="008577BE" w:rsidRPr="0043224D">
        <w:rPr>
          <w:rFonts w:ascii="Times New Roman" w:hAnsi="Times New Roman" w:cs="Times New Roman"/>
          <w:sz w:val="24"/>
          <w:szCs w:val="24"/>
        </w:rPr>
        <w:t>.</w:t>
      </w:r>
      <w:r w:rsidR="008577BE" w:rsidRPr="0043224D">
        <w:rPr>
          <w:rStyle w:val="FootnoteReference"/>
          <w:rFonts w:ascii="Times New Roman" w:hAnsi="Times New Roman" w:cs="Times New Roman"/>
          <w:sz w:val="24"/>
          <w:szCs w:val="24"/>
        </w:rPr>
        <w:footnoteReference w:id="121"/>
      </w:r>
      <w:r w:rsidR="00780C95" w:rsidRPr="0043224D">
        <w:rPr>
          <w:rFonts w:ascii="Times New Roman" w:hAnsi="Times New Roman" w:cs="Times New Roman"/>
          <w:sz w:val="24"/>
          <w:szCs w:val="24"/>
        </w:rPr>
        <w:t xml:space="preserve"> </w:t>
      </w:r>
      <w:r w:rsidR="002F41DF" w:rsidRPr="0043224D">
        <w:rPr>
          <w:rFonts w:ascii="Times New Roman" w:hAnsi="Times New Roman" w:cs="Times New Roman"/>
          <w:sz w:val="24"/>
          <w:szCs w:val="24"/>
        </w:rPr>
        <w:t>Similar to the CERD Committee, t</w:t>
      </w:r>
      <w:r w:rsidR="00B273EA" w:rsidRPr="0043224D">
        <w:rPr>
          <w:rFonts w:ascii="Times New Roman" w:hAnsi="Times New Roman" w:cs="Times New Roman"/>
          <w:sz w:val="24"/>
          <w:szCs w:val="24"/>
        </w:rPr>
        <w:t xml:space="preserve">he HRC acts a supervisory body that monitors the behaviour of states </w:t>
      </w:r>
      <w:r w:rsidR="002F41DF" w:rsidRPr="0043224D">
        <w:rPr>
          <w:rFonts w:ascii="Times New Roman" w:hAnsi="Times New Roman" w:cs="Times New Roman"/>
          <w:sz w:val="24"/>
          <w:szCs w:val="24"/>
        </w:rPr>
        <w:t>which have accepted the ICCPR. The HRC</w:t>
      </w:r>
      <w:r w:rsidR="00532998" w:rsidRPr="0043224D">
        <w:rPr>
          <w:rFonts w:ascii="Times New Roman" w:hAnsi="Times New Roman" w:cs="Times New Roman"/>
          <w:sz w:val="24"/>
          <w:szCs w:val="24"/>
        </w:rPr>
        <w:t xml:space="preserve"> established under article 28 of the </w:t>
      </w:r>
      <w:r w:rsidR="00EA7925" w:rsidRPr="0043224D">
        <w:rPr>
          <w:rFonts w:ascii="Times New Roman" w:hAnsi="Times New Roman" w:cs="Times New Roman"/>
          <w:sz w:val="24"/>
          <w:szCs w:val="24"/>
        </w:rPr>
        <w:t>Covenant</w:t>
      </w:r>
      <w:r w:rsidR="002F41DF" w:rsidRPr="0043224D">
        <w:rPr>
          <w:rFonts w:ascii="Times New Roman" w:hAnsi="Times New Roman" w:cs="Times New Roman"/>
          <w:sz w:val="24"/>
          <w:szCs w:val="24"/>
        </w:rPr>
        <w:t xml:space="preserve"> as a quasi-judicial body</w:t>
      </w:r>
      <w:r w:rsidR="00532998" w:rsidRPr="0043224D">
        <w:rPr>
          <w:rFonts w:ascii="Times New Roman" w:hAnsi="Times New Roman" w:cs="Times New Roman"/>
          <w:sz w:val="24"/>
          <w:szCs w:val="24"/>
        </w:rPr>
        <w:t>,</w:t>
      </w:r>
      <w:r w:rsidR="002F41DF" w:rsidRPr="0043224D">
        <w:rPr>
          <w:rFonts w:ascii="Times New Roman" w:hAnsi="Times New Roman" w:cs="Times New Roman"/>
          <w:sz w:val="24"/>
          <w:szCs w:val="24"/>
        </w:rPr>
        <w:t xml:space="preserve"> has competence in two distinct</w:t>
      </w:r>
      <w:r w:rsidR="00532998" w:rsidRPr="0043224D">
        <w:rPr>
          <w:rFonts w:ascii="Times New Roman" w:hAnsi="Times New Roman" w:cs="Times New Roman"/>
          <w:sz w:val="24"/>
          <w:szCs w:val="24"/>
        </w:rPr>
        <w:t xml:space="preserve"> procedural</w:t>
      </w:r>
      <w:r w:rsidR="002F41DF" w:rsidRPr="0043224D">
        <w:rPr>
          <w:rFonts w:ascii="Times New Roman" w:hAnsi="Times New Roman" w:cs="Times New Roman"/>
          <w:sz w:val="24"/>
          <w:szCs w:val="24"/>
        </w:rPr>
        <w:t xml:space="preserve"> areas of monitoring state obligations to the treaty. First, it can hear individual complaints</w:t>
      </w:r>
      <w:r w:rsidR="003C1BB7" w:rsidRPr="0043224D">
        <w:rPr>
          <w:rFonts w:ascii="Times New Roman" w:hAnsi="Times New Roman" w:cs="Times New Roman"/>
          <w:sz w:val="24"/>
          <w:szCs w:val="24"/>
        </w:rPr>
        <w:t>, otherwise known as “communications”,</w:t>
      </w:r>
      <w:r w:rsidR="002F41DF" w:rsidRPr="0043224D">
        <w:rPr>
          <w:rFonts w:ascii="Times New Roman" w:hAnsi="Times New Roman" w:cs="Times New Roman"/>
          <w:sz w:val="24"/>
          <w:szCs w:val="24"/>
        </w:rPr>
        <w:t xml:space="preserve"> under the Optional Protocol to the Covenant</w:t>
      </w:r>
      <w:r w:rsidR="003C1BB7" w:rsidRPr="0043224D">
        <w:rPr>
          <w:rFonts w:ascii="Times New Roman" w:hAnsi="Times New Roman" w:cs="Times New Roman"/>
          <w:sz w:val="24"/>
          <w:szCs w:val="24"/>
        </w:rPr>
        <w:t>.</w:t>
      </w:r>
      <w:r w:rsidR="003C1BB7" w:rsidRPr="0043224D">
        <w:rPr>
          <w:rStyle w:val="FootnoteReference"/>
          <w:rFonts w:ascii="Times New Roman" w:hAnsi="Times New Roman" w:cs="Times New Roman"/>
          <w:sz w:val="24"/>
          <w:szCs w:val="24"/>
        </w:rPr>
        <w:footnoteReference w:id="122"/>
      </w:r>
      <w:r w:rsidR="002F41DF" w:rsidRPr="0043224D">
        <w:rPr>
          <w:rFonts w:ascii="Times New Roman" w:hAnsi="Times New Roman" w:cs="Times New Roman"/>
          <w:sz w:val="24"/>
          <w:szCs w:val="24"/>
        </w:rPr>
        <w:t xml:space="preserve"> </w:t>
      </w:r>
      <w:r w:rsidR="003C1BB7" w:rsidRPr="0043224D">
        <w:rPr>
          <w:rFonts w:ascii="Times New Roman" w:hAnsi="Times New Roman" w:cs="Times New Roman"/>
          <w:sz w:val="24"/>
          <w:szCs w:val="24"/>
        </w:rPr>
        <w:t xml:space="preserve">Second, the HRC considers reports submitted by state parties, and in turn makes recommendations on areas of concern in those reports in how states are implementing the provisions of the treaty. </w:t>
      </w:r>
      <w:r w:rsidR="009C31DC" w:rsidRPr="0043224D">
        <w:rPr>
          <w:rFonts w:ascii="Times New Roman" w:hAnsi="Times New Roman" w:cs="Times New Roman"/>
          <w:sz w:val="24"/>
          <w:szCs w:val="24"/>
        </w:rPr>
        <w:t xml:space="preserve">In 1990, in a highly pertinent case involving resource development (oil and gas exploration on the lands indigenous peoples in Alberta, Canada) the HRC found against Canada under the individual complainants mechanism in </w:t>
      </w:r>
      <w:r w:rsidR="009C31DC" w:rsidRPr="0043224D">
        <w:rPr>
          <w:rFonts w:ascii="Times New Roman" w:hAnsi="Times New Roman" w:cs="Times New Roman"/>
          <w:i/>
          <w:sz w:val="24"/>
          <w:szCs w:val="24"/>
        </w:rPr>
        <w:t>Omanayak, Chief of the Lubicon Lake Band v. Canada</w:t>
      </w:r>
      <w:r w:rsidR="009C31DC" w:rsidRPr="0043224D">
        <w:rPr>
          <w:rFonts w:ascii="Times New Roman" w:hAnsi="Times New Roman" w:cs="Times New Roman"/>
          <w:sz w:val="24"/>
          <w:szCs w:val="24"/>
        </w:rPr>
        <w:t>.</w:t>
      </w:r>
      <w:r w:rsidR="009C31DC" w:rsidRPr="0043224D">
        <w:rPr>
          <w:rStyle w:val="FootnoteReference"/>
          <w:rFonts w:ascii="Times New Roman" w:hAnsi="Times New Roman" w:cs="Times New Roman"/>
          <w:sz w:val="24"/>
          <w:szCs w:val="24"/>
        </w:rPr>
        <w:footnoteReference w:id="123"/>
      </w:r>
      <w:r w:rsidR="00893C19" w:rsidRPr="0043224D">
        <w:rPr>
          <w:rFonts w:ascii="Times New Roman" w:hAnsi="Times New Roman" w:cs="Times New Roman"/>
          <w:sz w:val="24"/>
          <w:szCs w:val="24"/>
        </w:rPr>
        <w:t xml:space="preserve"> The complaint </w:t>
      </w:r>
      <w:r w:rsidR="00706B90" w:rsidRPr="0043224D">
        <w:rPr>
          <w:rFonts w:ascii="Times New Roman" w:hAnsi="Times New Roman" w:cs="Times New Roman"/>
          <w:sz w:val="24"/>
          <w:szCs w:val="24"/>
        </w:rPr>
        <w:t>was</w:t>
      </w:r>
      <w:r w:rsidR="00B54880" w:rsidRPr="0043224D">
        <w:rPr>
          <w:rFonts w:ascii="Times New Roman" w:hAnsi="Times New Roman" w:cs="Times New Roman"/>
          <w:sz w:val="24"/>
          <w:szCs w:val="24"/>
        </w:rPr>
        <w:t xml:space="preserve"> initially</w:t>
      </w:r>
      <w:r w:rsidR="00B00384" w:rsidRPr="0043224D">
        <w:rPr>
          <w:rFonts w:ascii="Times New Roman" w:hAnsi="Times New Roman" w:cs="Times New Roman"/>
          <w:sz w:val="24"/>
          <w:szCs w:val="24"/>
        </w:rPr>
        <w:t xml:space="preserve"> brought under A</w:t>
      </w:r>
      <w:r w:rsidR="00893C19" w:rsidRPr="0043224D">
        <w:rPr>
          <w:rFonts w:ascii="Times New Roman" w:hAnsi="Times New Roman" w:cs="Times New Roman"/>
          <w:sz w:val="24"/>
          <w:szCs w:val="24"/>
        </w:rPr>
        <w:t>rticle 1 of the treaty (right of self-determination</w:t>
      </w:r>
      <w:r w:rsidR="00706B90" w:rsidRPr="0043224D">
        <w:rPr>
          <w:rFonts w:ascii="Times New Roman" w:hAnsi="Times New Roman" w:cs="Times New Roman"/>
          <w:sz w:val="24"/>
          <w:szCs w:val="24"/>
        </w:rPr>
        <w:t xml:space="preserve"> of peoples</w:t>
      </w:r>
      <w:r w:rsidR="00893C19" w:rsidRPr="0043224D">
        <w:rPr>
          <w:rFonts w:ascii="Times New Roman" w:hAnsi="Times New Roman" w:cs="Times New Roman"/>
          <w:sz w:val="24"/>
          <w:szCs w:val="24"/>
        </w:rPr>
        <w:t>)</w:t>
      </w:r>
      <w:r w:rsidR="00706B90" w:rsidRPr="0043224D">
        <w:rPr>
          <w:rFonts w:ascii="Times New Roman" w:hAnsi="Times New Roman" w:cs="Times New Roman"/>
          <w:sz w:val="24"/>
          <w:szCs w:val="24"/>
        </w:rPr>
        <w:t xml:space="preserve"> as a group right. The HRC however, although rejecting under the Optional Protocol to</w:t>
      </w:r>
      <w:r w:rsidR="00B54880" w:rsidRPr="0043224D">
        <w:rPr>
          <w:rFonts w:ascii="Times New Roman" w:hAnsi="Times New Roman" w:cs="Times New Roman"/>
          <w:sz w:val="24"/>
          <w:szCs w:val="24"/>
        </w:rPr>
        <w:t xml:space="preserve"> the C</w:t>
      </w:r>
      <w:r w:rsidR="00706B90" w:rsidRPr="0043224D">
        <w:rPr>
          <w:rFonts w:ascii="Times New Roman" w:hAnsi="Times New Roman" w:cs="Times New Roman"/>
          <w:sz w:val="24"/>
          <w:szCs w:val="24"/>
        </w:rPr>
        <w:t>ovenant</w:t>
      </w:r>
      <w:r w:rsidR="00B54880" w:rsidRPr="0043224D">
        <w:rPr>
          <w:rFonts w:ascii="Times New Roman" w:hAnsi="Times New Roman" w:cs="Times New Roman"/>
          <w:sz w:val="24"/>
          <w:szCs w:val="24"/>
        </w:rPr>
        <w:t xml:space="preserve"> to deliberate on whether or not the Lubicon Lake Band </w:t>
      </w:r>
      <w:r w:rsidR="00B00384" w:rsidRPr="0043224D">
        <w:rPr>
          <w:rFonts w:ascii="Times New Roman" w:hAnsi="Times New Roman" w:cs="Times New Roman"/>
          <w:sz w:val="24"/>
          <w:szCs w:val="24"/>
        </w:rPr>
        <w:t>constituted</w:t>
      </w:r>
      <w:r w:rsidR="00B54880" w:rsidRPr="0043224D">
        <w:rPr>
          <w:rFonts w:ascii="Times New Roman" w:hAnsi="Times New Roman" w:cs="Times New Roman"/>
          <w:sz w:val="24"/>
          <w:szCs w:val="24"/>
        </w:rPr>
        <w:t xml:space="preserve"> a “people”, nevertheless did recalibrate the complaint under article 27, offering the following account for its reasoning: </w:t>
      </w:r>
    </w:p>
    <w:p w:rsidR="00B54880" w:rsidRPr="0043224D" w:rsidRDefault="00B54880" w:rsidP="0043224D">
      <w:pPr>
        <w:pStyle w:val="NoSpacing"/>
        <w:spacing w:line="360" w:lineRule="auto"/>
        <w:rPr>
          <w:rFonts w:ascii="Times New Roman" w:hAnsi="Times New Roman" w:cs="Times New Roman"/>
          <w:sz w:val="24"/>
          <w:szCs w:val="24"/>
        </w:rPr>
      </w:pPr>
    </w:p>
    <w:p w:rsidR="002E1BA2" w:rsidRPr="0043224D" w:rsidRDefault="00B54880" w:rsidP="0043224D">
      <w:pPr>
        <w:pStyle w:val="NoSpacing"/>
        <w:spacing w:line="360" w:lineRule="auto"/>
        <w:ind w:left="720"/>
        <w:rPr>
          <w:rFonts w:ascii="Times New Roman" w:hAnsi="Times New Roman" w:cs="Times New Roman"/>
          <w:i/>
          <w:sz w:val="24"/>
          <w:szCs w:val="24"/>
        </w:rPr>
      </w:pPr>
      <w:r w:rsidRPr="0043224D">
        <w:rPr>
          <w:rFonts w:ascii="Times New Roman" w:hAnsi="Times New Roman" w:cs="Times New Roman"/>
          <w:i/>
          <w:sz w:val="24"/>
          <w:szCs w:val="24"/>
        </w:rPr>
        <w:t>“</w:t>
      </w:r>
      <w:r w:rsidRPr="0043224D">
        <w:rPr>
          <w:rFonts w:ascii="Times New Roman" w:hAnsi="Times New Roman" w:cs="Times New Roman"/>
          <w:i/>
          <w:color w:val="000000"/>
          <w:sz w:val="24"/>
          <w:szCs w:val="24"/>
          <w:shd w:val="clear" w:color="auto" w:fill="FFFFFF"/>
        </w:rPr>
        <w:t>The Optional Protocol provides a procedure under which individuals can claim that their individual rights have been violated. These rights are set out in part III of the Covenant, articles 6 to 27, inclusive. There is, however, no objection to a group of individuals, who claim to be similarly affected, collectively to submit a communication about alleged breaches of their rights.</w:t>
      </w:r>
      <w:r w:rsidRPr="0043224D">
        <w:rPr>
          <w:rStyle w:val="FootnoteReference"/>
          <w:rFonts w:ascii="Times New Roman" w:hAnsi="Times New Roman" w:cs="Times New Roman"/>
          <w:color w:val="000000"/>
          <w:sz w:val="24"/>
          <w:szCs w:val="24"/>
          <w:shd w:val="clear" w:color="auto" w:fill="FFFFFF"/>
        </w:rPr>
        <w:footnoteReference w:id="124"/>
      </w:r>
      <w:r w:rsidRPr="0043224D">
        <w:rPr>
          <w:rFonts w:ascii="Times New Roman" w:hAnsi="Times New Roman" w:cs="Times New Roman"/>
          <w:sz w:val="24"/>
          <w:szCs w:val="24"/>
        </w:rPr>
        <w:t xml:space="preserve"> </w:t>
      </w:r>
      <w:r w:rsidR="00706B90" w:rsidRPr="0043224D">
        <w:rPr>
          <w:rFonts w:ascii="Times New Roman" w:hAnsi="Times New Roman" w:cs="Times New Roman"/>
          <w:sz w:val="24"/>
          <w:szCs w:val="24"/>
        </w:rPr>
        <w:t xml:space="preserve"> </w:t>
      </w:r>
      <w:r w:rsidR="00893C19" w:rsidRPr="0043224D">
        <w:rPr>
          <w:rFonts w:ascii="Times New Roman" w:hAnsi="Times New Roman" w:cs="Times New Roman"/>
          <w:i/>
          <w:sz w:val="24"/>
          <w:szCs w:val="24"/>
        </w:rPr>
        <w:t xml:space="preserve"> </w:t>
      </w:r>
      <w:r w:rsidR="003C1BB7" w:rsidRPr="0043224D">
        <w:rPr>
          <w:rFonts w:ascii="Times New Roman" w:hAnsi="Times New Roman" w:cs="Times New Roman"/>
          <w:i/>
          <w:sz w:val="24"/>
          <w:szCs w:val="24"/>
        </w:rPr>
        <w:t xml:space="preserve"> </w:t>
      </w:r>
    </w:p>
    <w:p w:rsidR="00AC724C" w:rsidRPr="0043224D" w:rsidRDefault="00AC724C" w:rsidP="0043224D">
      <w:pPr>
        <w:pStyle w:val="NoSpacing"/>
        <w:spacing w:line="360" w:lineRule="auto"/>
        <w:ind w:left="720"/>
        <w:rPr>
          <w:rFonts w:ascii="Times New Roman" w:hAnsi="Times New Roman" w:cs="Times New Roman"/>
          <w:i/>
          <w:sz w:val="24"/>
          <w:szCs w:val="24"/>
        </w:rPr>
      </w:pPr>
    </w:p>
    <w:p w:rsidR="00D328C0" w:rsidRPr="0043224D" w:rsidRDefault="00864ED8" w:rsidP="00060EEC">
      <w:pPr>
        <w:pStyle w:val="NoSpacing"/>
        <w:spacing w:line="360" w:lineRule="auto"/>
        <w:ind w:firstLine="720"/>
        <w:rPr>
          <w:rFonts w:ascii="Times New Roman" w:hAnsi="Times New Roman" w:cs="Times New Roman"/>
          <w:color w:val="000000"/>
          <w:sz w:val="24"/>
          <w:szCs w:val="24"/>
          <w:shd w:val="clear" w:color="auto" w:fill="FFFFFF"/>
        </w:rPr>
      </w:pPr>
      <w:r w:rsidRPr="0043224D">
        <w:rPr>
          <w:rFonts w:ascii="Times New Roman" w:hAnsi="Times New Roman" w:cs="Times New Roman"/>
          <w:sz w:val="24"/>
          <w:szCs w:val="24"/>
        </w:rPr>
        <w:t>This amenable reformulation of the</w:t>
      </w:r>
      <w:r w:rsidR="00DD1538" w:rsidRPr="0043224D">
        <w:rPr>
          <w:rFonts w:ascii="Times New Roman" w:hAnsi="Times New Roman" w:cs="Times New Roman"/>
          <w:sz w:val="24"/>
          <w:szCs w:val="24"/>
        </w:rPr>
        <w:t xml:space="preserve"> petitioner’s</w:t>
      </w:r>
      <w:r w:rsidRPr="0043224D">
        <w:rPr>
          <w:rFonts w:ascii="Times New Roman" w:hAnsi="Times New Roman" w:cs="Times New Roman"/>
          <w:sz w:val="24"/>
          <w:szCs w:val="24"/>
        </w:rPr>
        <w:t xml:space="preserve"> complaint by the HRC under article 27 shows a willingness by the body to interpret broadly in favour of </w:t>
      </w:r>
      <w:r w:rsidR="00DD1538" w:rsidRPr="0043224D">
        <w:rPr>
          <w:rFonts w:ascii="Times New Roman" w:hAnsi="Times New Roman" w:cs="Times New Roman"/>
          <w:sz w:val="24"/>
          <w:szCs w:val="24"/>
        </w:rPr>
        <w:t xml:space="preserve">cultural integrity and </w:t>
      </w:r>
      <w:r w:rsidRPr="0043224D">
        <w:rPr>
          <w:rFonts w:ascii="Times New Roman" w:hAnsi="Times New Roman" w:cs="Times New Roman"/>
          <w:sz w:val="24"/>
          <w:szCs w:val="24"/>
        </w:rPr>
        <w:t>indigenous rights when</w:t>
      </w:r>
      <w:r w:rsidR="00DD1538" w:rsidRPr="0043224D">
        <w:rPr>
          <w:rFonts w:ascii="Times New Roman" w:hAnsi="Times New Roman" w:cs="Times New Roman"/>
          <w:sz w:val="24"/>
          <w:szCs w:val="24"/>
        </w:rPr>
        <w:t xml:space="preserve"> those rights are</w:t>
      </w:r>
      <w:r w:rsidRPr="0043224D">
        <w:rPr>
          <w:rFonts w:ascii="Times New Roman" w:hAnsi="Times New Roman" w:cs="Times New Roman"/>
          <w:sz w:val="24"/>
          <w:szCs w:val="24"/>
        </w:rPr>
        <w:t xml:space="preserve"> threatened by large scale industrial interests. In addition, surely implicit in the HRC’s interpretation, is </w:t>
      </w:r>
      <w:r w:rsidR="001A011C" w:rsidRPr="0043224D">
        <w:rPr>
          <w:rFonts w:ascii="Times New Roman" w:hAnsi="Times New Roman" w:cs="Times New Roman"/>
          <w:sz w:val="24"/>
          <w:szCs w:val="24"/>
        </w:rPr>
        <w:t xml:space="preserve">an understanding that that cultural integrity, and ultimately cultural survival, can only be understood “collectively” in relation to indigenous peoples. </w:t>
      </w:r>
      <w:r w:rsidR="00CA7C7B" w:rsidRPr="0043224D">
        <w:rPr>
          <w:rFonts w:ascii="Times New Roman" w:hAnsi="Times New Roman" w:cs="Times New Roman"/>
          <w:sz w:val="24"/>
          <w:szCs w:val="24"/>
        </w:rPr>
        <w:t xml:space="preserve">In this connection, large scale extractive development poses not only the threat of displacement, but also, potentially, the threat of extinction. The HRC in its decision explicitly recognised </w:t>
      </w:r>
      <w:r w:rsidR="00B00384" w:rsidRPr="0043224D">
        <w:rPr>
          <w:rFonts w:ascii="Times New Roman" w:hAnsi="Times New Roman" w:cs="Times New Roman"/>
          <w:sz w:val="24"/>
          <w:szCs w:val="24"/>
        </w:rPr>
        <w:t>that</w:t>
      </w:r>
      <w:r w:rsidR="00CA7C7B" w:rsidRPr="0043224D">
        <w:rPr>
          <w:rFonts w:ascii="Times New Roman" w:hAnsi="Times New Roman" w:cs="Times New Roman"/>
          <w:sz w:val="24"/>
          <w:szCs w:val="24"/>
        </w:rPr>
        <w:t>, “</w:t>
      </w:r>
      <w:r w:rsidR="00CA7C7B" w:rsidRPr="0043224D">
        <w:rPr>
          <w:rFonts w:ascii="Times New Roman" w:hAnsi="Times New Roman" w:cs="Times New Roman"/>
          <w:color w:val="000000"/>
          <w:sz w:val="24"/>
          <w:szCs w:val="24"/>
          <w:shd w:val="clear" w:color="auto" w:fill="FFFFFF"/>
        </w:rPr>
        <w:t>Historical inequities, to which the State party refers, and certain more recent developments threaten the way of life and culture of the Lubicon Lake Band, and constitute a violation of article 27 so long as they continue.”</w:t>
      </w:r>
      <w:r w:rsidR="00CA7C7B" w:rsidRPr="0043224D">
        <w:rPr>
          <w:rStyle w:val="FootnoteReference"/>
          <w:rFonts w:ascii="Times New Roman" w:hAnsi="Times New Roman" w:cs="Times New Roman"/>
          <w:color w:val="000000"/>
          <w:sz w:val="24"/>
          <w:szCs w:val="24"/>
          <w:shd w:val="clear" w:color="auto" w:fill="FFFFFF"/>
        </w:rPr>
        <w:footnoteReference w:id="125"/>
      </w:r>
      <w:r w:rsidR="00CA7C7B" w:rsidRPr="0043224D">
        <w:rPr>
          <w:rFonts w:ascii="Times New Roman" w:hAnsi="Times New Roman" w:cs="Times New Roman"/>
          <w:color w:val="000000"/>
          <w:sz w:val="24"/>
          <w:szCs w:val="24"/>
          <w:shd w:val="clear" w:color="auto" w:fill="FFFFFF"/>
        </w:rPr>
        <w:t xml:space="preserve"> </w:t>
      </w:r>
    </w:p>
    <w:p w:rsidR="00B00384" w:rsidRPr="0043224D" w:rsidRDefault="00B00384" w:rsidP="0043224D">
      <w:pPr>
        <w:pStyle w:val="NoSpacing"/>
        <w:spacing w:line="360" w:lineRule="auto"/>
        <w:rPr>
          <w:rFonts w:ascii="Times New Roman" w:hAnsi="Times New Roman" w:cs="Times New Roman"/>
          <w:color w:val="000000"/>
          <w:sz w:val="24"/>
          <w:szCs w:val="24"/>
          <w:shd w:val="clear" w:color="auto" w:fill="FFFFFF"/>
        </w:rPr>
      </w:pPr>
    </w:p>
    <w:p w:rsidR="00DF4C24" w:rsidRPr="0043224D" w:rsidRDefault="00CA7C7B" w:rsidP="00060EEC">
      <w:pPr>
        <w:pStyle w:val="NoSpacing"/>
        <w:spacing w:line="360" w:lineRule="auto"/>
        <w:ind w:firstLine="720"/>
        <w:rPr>
          <w:rFonts w:ascii="Times New Roman" w:hAnsi="Times New Roman" w:cs="Times New Roman"/>
          <w:color w:val="000000"/>
          <w:sz w:val="24"/>
          <w:szCs w:val="24"/>
          <w:shd w:val="clear" w:color="auto" w:fill="FFFFFF"/>
        </w:rPr>
      </w:pPr>
      <w:r w:rsidRPr="0043224D">
        <w:rPr>
          <w:rFonts w:ascii="Times New Roman" w:hAnsi="Times New Roman" w:cs="Times New Roman"/>
          <w:color w:val="000000"/>
          <w:sz w:val="24"/>
          <w:szCs w:val="24"/>
          <w:shd w:val="clear" w:color="auto" w:fill="FFFFFF"/>
        </w:rPr>
        <w:t xml:space="preserve">However, </w:t>
      </w:r>
      <w:r w:rsidR="00735CA9" w:rsidRPr="0043224D">
        <w:rPr>
          <w:rFonts w:ascii="Times New Roman" w:hAnsi="Times New Roman" w:cs="Times New Roman"/>
          <w:color w:val="000000"/>
          <w:sz w:val="24"/>
          <w:szCs w:val="24"/>
          <w:shd w:val="clear" w:color="auto" w:fill="FFFFFF"/>
        </w:rPr>
        <w:t xml:space="preserve">in an opinion submitted by another member of the body, a reservation was made to the finding. </w:t>
      </w:r>
      <w:r w:rsidR="00D328C0" w:rsidRPr="0043224D">
        <w:rPr>
          <w:rFonts w:ascii="Times New Roman" w:hAnsi="Times New Roman" w:cs="Times New Roman"/>
          <w:color w:val="000000"/>
          <w:sz w:val="24"/>
          <w:szCs w:val="24"/>
          <w:shd w:val="clear" w:color="auto" w:fill="FFFFFF"/>
        </w:rPr>
        <w:t>It is a</w:t>
      </w:r>
      <w:r w:rsidR="00735CA9" w:rsidRPr="0043224D">
        <w:rPr>
          <w:rFonts w:ascii="Times New Roman" w:hAnsi="Times New Roman" w:cs="Times New Roman"/>
          <w:color w:val="000000"/>
          <w:sz w:val="24"/>
          <w:szCs w:val="24"/>
          <w:shd w:val="clear" w:color="auto" w:fill="FFFFFF"/>
        </w:rPr>
        <w:t xml:space="preserve"> qualification that is central to the question of the imperative of national economic development </w:t>
      </w:r>
      <w:r w:rsidR="00D328C0" w:rsidRPr="0043224D">
        <w:rPr>
          <w:rFonts w:ascii="Times New Roman" w:hAnsi="Times New Roman" w:cs="Times New Roman"/>
          <w:color w:val="000000"/>
          <w:sz w:val="24"/>
          <w:szCs w:val="24"/>
          <w:shd w:val="clear" w:color="auto" w:fill="FFFFFF"/>
        </w:rPr>
        <w:t>versus</w:t>
      </w:r>
      <w:r w:rsidR="00735CA9" w:rsidRPr="0043224D">
        <w:rPr>
          <w:rFonts w:ascii="Times New Roman" w:hAnsi="Times New Roman" w:cs="Times New Roman"/>
          <w:color w:val="000000"/>
          <w:sz w:val="24"/>
          <w:szCs w:val="24"/>
          <w:shd w:val="clear" w:color="auto" w:fill="FFFFFF"/>
        </w:rPr>
        <w:t xml:space="preserve"> the rights of indigenous not to be displaced by development projects. In his opinion, Mr Nisuke Ando stated that in light of</w:t>
      </w:r>
      <w:r w:rsidR="00D328C0" w:rsidRPr="0043224D">
        <w:rPr>
          <w:rFonts w:ascii="Times New Roman" w:hAnsi="Times New Roman" w:cs="Times New Roman"/>
          <w:color w:val="000000"/>
          <w:sz w:val="24"/>
          <w:szCs w:val="24"/>
          <w:shd w:val="clear" w:color="auto" w:fill="FFFFFF"/>
        </w:rPr>
        <w:t xml:space="preserve"> a country’s</w:t>
      </w:r>
      <w:r w:rsidR="00735CA9" w:rsidRPr="0043224D">
        <w:rPr>
          <w:rFonts w:ascii="Times New Roman" w:hAnsi="Times New Roman" w:cs="Times New Roman"/>
          <w:color w:val="000000"/>
          <w:sz w:val="24"/>
          <w:szCs w:val="24"/>
          <w:shd w:val="clear" w:color="auto" w:fill="FFFFFF"/>
        </w:rPr>
        <w:t xml:space="preserve"> technical development, </w:t>
      </w:r>
      <w:r w:rsidR="00D328C0" w:rsidRPr="0043224D">
        <w:rPr>
          <w:rFonts w:ascii="Times New Roman" w:hAnsi="Times New Roman" w:cs="Times New Roman"/>
          <w:color w:val="000000"/>
          <w:sz w:val="24"/>
          <w:szCs w:val="24"/>
          <w:shd w:val="clear" w:color="auto" w:fill="FFFFFF"/>
        </w:rPr>
        <w:t>“[T]he right to enjoy one's own culture should not be understood to imply that the Band's traditional way of life must be preserved intact</w:t>
      </w:r>
      <w:r w:rsidR="00D328C0" w:rsidRPr="0043224D">
        <w:rPr>
          <w:rStyle w:val="apple-converted-space"/>
          <w:rFonts w:ascii="Times New Roman" w:hAnsi="Times New Roman" w:cs="Times New Roman"/>
          <w:color w:val="000000"/>
          <w:sz w:val="24"/>
          <w:szCs w:val="24"/>
          <w:shd w:val="clear" w:color="auto" w:fill="FFFFFF"/>
        </w:rPr>
        <w:t> </w:t>
      </w:r>
      <w:r w:rsidR="00D328C0" w:rsidRPr="0043224D">
        <w:rPr>
          <w:rFonts w:ascii="Times New Roman" w:hAnsi="Times New Roman" w:cs="Times New Roman"/>
          <w:i/>
          <w:color w:val="000000"/>
          <w:sz w:val="24"/>
          <w:szCs w:val="24"/>
          <w:shd w:val="clear" w:color="auto" w:fill="FFFFFF"/>
        </w:rPr>
        <w:t>at all costs</w:t>
      </w:r>
      <w:r w:rsidR="00D328C0" w:rsidRPr="0043224D">
        <w:rPr>
          <w:rFonts w:ascii="Times New Roman" w:hAnsi="Times New Roman" w:cs="Times New Roman"/>
          <w:color w:val="000000"/>
          <w:sz w:val="24"/>
          <w:szCs w:val="24"/>
          <w:shd w:val="clear" w:color="auto" w:fill="FFFFFF"/>
        </w:rPr>
        <w:t>.”</w:t>
      </w:r>
      <w:r w:rsidR="00D328C0" w:rsidRPr="0043224D">
        <w:rPr>
          <w:rStyle w:val="FootnoteReference"/>
          <w:rFonts w:ascii="Times New Roman" w:hAnsi="Times New Roman" w:cs="Times New Roman"/>
          <w:color w:val="000000"/>
          <w:sz w:val="24"/>
          <w:szCs w:val="24"/>
          <w:shd w:val="clear" w:color="auto" w:fill="FFFFFF"/>
        </w:rPr>
        <w:footnoteReference w:id="126"/>
      </w:r>
      <w:r w:rsidR="00D328C0" w:rsidRPr="0043224D">
        <w:rPr>
          <w:rFonts w:ascii="Times New Roman" w:hAnsi="Times New Roman" w:cs="Times New Roman"/>
          <w:color w:val="000000"/>
          <w:sz w:val="24"/>
          <w:szCs w:val="24"/>
          <w:shd w:val="clear" w:color="auto" w:fill="FFFFFF"/>
        </w:rPr>
        <w:t xml:space="preserve"> He went on to further assert that, “outright refusal by a group in a given society to change its traditional way of life may hamper the economic development of the society as a whole.”</w:t>
      </w:r>
      <w:r w:rsidR="00D328C0" w:rsidRPr="0043224D">
        <w:rPr>
          <w:rStyle w:val="FootnoteReference"/>
          <w:rFonts w:ascii="Times New Roman" w:hAnsi="Times New Roman" w:cs="Times New Roman"/>
          <w:color w:val="000000"/>
          <w:sz w:val="24"/>
          <w:szCs w:val="24"/>
          <w:shd w:val="clear" w:color="auto" w:fill="FFFFFF"/>
        </w:rPr>
        <w:footnoteReference w:id="127"/>
      </w:r>
      <w:r w:rsidR="00D328C0" w:rsidRPr="0043224D">
        <w:rPr>
          <w:rFonts w:ascii="Times New Roman" w:hAnsi="Times New Roman" w:cs="Times New Roman"/>
          <w:color w:val="000000"/>
          <w:sz w:val="24"/>
          <w:szCs w:val="24"/>
          <w:shd w:val="clear" w:color="auto" w:fill="FFFFFF"/>
        </w:rPr>
        <w:t xml:space="preserve"> </w:t>
      </w:r>
    </w:p>
    <w:p w:rsidR="00D328C0" w:rsidRPr="0043224D" w:rsidRDefault="00497853" w:rsidP="00060EEC">
      <w:pPr>
        <w:pStyle w:val="NoSpacing"/>
        <w:spacing w:line="360" w:lineRule="auto"/>
        <w:ind w:firstLine="720"/>
        <w:rPr>
          <w:rFonts w:ascii="Times New Roman" w:hAnsi="Times New Roman" w:cs="Times New Roman"/>
          <w:color w:val="000000"/>
          <w:sz w:val="24"/>
          <w:szCs w:val="24"/>
          <w:shd w:val="clear" w:color="auto" w:fill="FFFFFF"/>
        </w:rPr>
      </w:pPr>
      <w:r w:rsidRPr="0043224D">
        <w:rPr>
          <w:rFonts w:ascii="Times New Roman" w:hAnsi="Times New Roman" w:cs="Times New Roman"/>
          <w:color w:val="000000"/>
          <w:sz w:val="24"/>
          <w:szCs w:val="24"/>
          <w:shd w:val="clear" w:color="auto" w:fill="FFFFFF"/>
        </w:rPr>
        <w:t>Under the other complaint mechanism of the ICCPR</w:t>
      </w:r>
      <w:r w:rsidR="00585C91" w:rsidRPr="0043224D">
        <w:rPr>
          <w:rFonts w:ascii="Times New Roman" w:hAnsi="Times New Roman" w:cs="Times New Roman"/>
          <w:color w:val="000000"/>
          <w:sz w:val="24"/>
          <w:szCs w:val="24"/>
          <w:shd w:val="clear" w:color="auto" w:fill="FFFFFF"/>
        </w:rPr>
        <w:t xml:space="preserve"> as</w:t>
      </w:r>
      <w:r w:rsidRPr="0043224D">
        <w:rPr>
          <w:rFonts w:ascii="Times New Roman" w:hAnsi="Times New Roman" w:cs="Times New Roman"/>
          <w:color w:val="000000"/>
          <w:sz w:val="24"/>
          <w:szCs w:val="24"/>
          <w:shd w:val="clear" w:color="auto" w:fill="FFFFFF"/>
        </w:rPr>
        <w:t xml:space="preserve"> mentioned above, the state reporting mechanism, the HRC</w:t>
      </w:r>
      <w:r w:rsidR="00611414" w:rsidRPr="0043224D">
        <w:rPr>
          <w:rFonts w:ascii="Times New Roman" w:hAnsi="Times New Roman" w:cs="Times New Roman"/>
          <w:color w:val="000000"/>
          <w:sz w:val="24"/>
          <w:szCs w:val="24"/>
          <w:shd w:val="clear" w:color="auto" w:fill="FFFFFF"/>
        </w:rPr>
        <w:t xml:space="preserve"> also</w:t>
      </w:r>
      <w:r w:rsidR="00A71DD1" w:rsidRPr="0043224D">
        <w:rPr>
          <w:rFonts w:ascii="Times New Roman" w:hAnsi="Times New Roman" w:cs="Times New Roman"/>
          <w:color w:val="000000"/>
          <w:sz w:val="24"/>
          <w:szCs w:val="24"/>
          <w:shd w:val="clear" w:color="auto" w:fill="FFFFFF"/>
        </w:rPr>
        <w:t xml:space="preserve"> regularly comments on violations of indigenous rights, especially on the issue of states granting concessions on indigenous lands to companies in logging</w:t>
      </w:r>
      <w:r w:rsidR="00075AAB" w:rsidRPr="0043224D">
        <w:rPr>
          <w:rFonts w:ascii="Times New Roman" w:hAnsi="Times New Roman" w:cs="Times New Roman"/>
          <w:color w:val="000000"/>
          <w:sz w:val="24"/>
          <w:szCs w:val="24"/>
          <w:shd w:val="clear" w:color="auto" w:fill="FFFFFF"/>
        </w:rPr>
        <w:t xml:space="preserve"> and</w:t>
      </w:r>
      <w:r w:rsidR="00A71DD1" w:rsidRPr="0043224D">
        <w:rPr>
          <w:rFonts w:ascii="Times New Roman" w:hAnsi="Times New Roman" w:cs="Times New Roman"/>
          <w:color w:val="000000"/>
          <w:sz w:val="24"/>
          <w:szCs w:val="24"/>
          <w:shd w:val="clear" w:color="auto" w:fill="FFFFFF"/>
        </w:rPr>
        <w:t xml:space="preserve"> extractive mining</w:t>
      </w:r>
      <w:r w:rsidR="00075AAB" w:rsidRPr="0043224D">
        <w:rPr>
          <w:rFonts w:ascii="Times New Roman" w:hAnsi="Times New Roman" w:cs="Times New Roman"/>
          <w:color w:val="000000"/>
          <w:sz w:val="24"/>
          <w:szCs w:val="24"/>
          <w:shd w:val="clear" w:color="auto" w:fill="FFFFFF"/>
        </w:rPr>
        <w:t>, an</w:t>
      </w:r>
      <w:r w:rsidR="00B00384" w:rsidRPr="0043224D">
        <w:rPr>
          <w:rFonts w:ascii="Times New Roman" w:hAnsi="Times New Roman" w:cs="Times New Roman"/>
          <w:color w:val="000000"/>
          <w:sz w:val="24"/>
          <w:szCs w:val="24"/>
          <w:shd w:val="clear" w:color="auto" w:fill="FFFFFF"/>
        </w:rPr>
        <w:t>d the human rights abuses thereafter</w:t>
      </w:r>
      <w:r w:rsidR="00A71DD1" w:rsidRPr="0043224D">
        <w:rPr>
          <w:rFonts w:ascii="Times New Roman" w:hAnsi="Times New Roman" w:cs="Times New Roman"/>
          <w:color w:val="000000"/>
          <w:sz w:val="24"/>
          <w:szCs w:val="24"/>
          <w:shd w:val="clear" w:color="auto" w:fill="FFFFFF"/>
        </w:rPr>
        <w:t xml:space="preserve">. </w:t>
      </w:r>
      <w:r w:rsidR="00585C91" w:rsidRPr="0043224D">
        <w:rPr>
          <w:rFonts w:ascii="Times New Roman" w:hAnsi="Times New Roman" w:cs="Times New Roman"/>
          <w:color w:val="000000"/>
          <w:sz w:val="24"/>
          <w:szCs w:val="24"/>
          <w:shd w:val="clear" w:color="auto" w:fill="FFFFFF"/>
        </w:rPr>
        <w:t>For example,</w:t>
      </w:r>
      <w:r w:rsidR="001B1686" w:rsidRPr="0043224D">
        <w:rPr>
          <w:rFonts w:ascii="Times New Roman" w:hAnsi="Times New Roman" w:cs="Times New Roman"/>
          <w:color w:val="000000"/>
          <w:sz w:val="24"/>
          <w:szCs w:val="24"/>
          <w:shd w:val="clear" w:color="auto" w:fill="FFFFFF"/>
        </w:rPr>
        <w:t xml:space="preserve"> the Committee</w:t>
      </w:r>
      <w:r w:rsidR="00A509E5" w:rsidRPr="0043224D">
        <w:rPr>
          <w:rFonts w:ascii="Times New Roman" w:hAnsi="Times New Roman" w:cs="Times New Roman"/>
          <w:color w:val="000000"/>
          <w:sz w:val="24"/>
          <w:szCs w:val="24"/>
          <w:shd w:val="clear" w:color="auto" w:fill="FFFFFF"/>
        </w:rPr>
        <w:t xml:space="preserve"> in 2013</w:t>
      </w:r>
      <w:r w:rsidR="001B1686" w:rsidRPr="0043224D">
        <w:rPr>
          <w:rFonts w:ascii="Times New Roman" w:hAnsi="Times New Roman" w:cs="Times New Roman"/>
          <w:color w:val="000000"/>
          <w:sz w:val="24"/>
          <w:szCs w:val="24"/>
          <w:shd w:val="clear" w:color="auto" w:fill="FFFFFF"/>
        </w:rPr>
        <w:t xml:space="preserve"> recommended that Belize should provide information on allegations that it is not complying with the decision of the Belize Supreme Court with regard to indigenous land rulings.</w:t>
      </w:r>
      <w:r w:rsidR="001B1686" w:rsidRPr="0043224D">
        <w:rPr>
          <w:rStyle w:val="FootnoteReference"/>
          <w:rFonts w:ascii="Times New Roman" w:hAnsi="Times New Roman" w:cs="Times New Roman"/>
          <w:color w:val="000000"/>
          <w:sz w:val="24"/>
          <w:szCs w:val="24"/>
          <w:shd w:val="clear" w:color="auto" w:fill="FFFFFF"/>
        </w:rPr>
        <w:footnoteReference w:id="128"/>
      </w:r>
      <w:r w:rsidR="001B1686" w:rsidRPr="0043224D">
        <w:rPr>
          <w:rFonts w:ascii="Times New Roman" w:hAnsi="Times New Roman" w:cs="Times New Roman"/>
          <w:color w:val="000000"/>
          <w:sz w:val="24"/>
          <w:szCs w:val="24"/>
          <w:shd w:val="clear" w:color="auto" w:fill="FFFFFF"/>
        </w:rPr>
        <w:t xml:space="preserve"> Relatedly, it recommended</w:t>
      </w:r>
      <w:r w:rsidR="00DA5ABA" w:rsidRPr="0043224D">
        <w:rPr>
          <w:rFonts w:ascii="Times New Roman" w:hAnsi="Times New Roman" w:cs="Times New Roman"/>
          <w:color w:val="000000"/>
          <w:sz w:val="24"/>
          <w:szCs w:val="24"/>
          <w:shd w:val="clear" w:color="auto" w:fill="FFFFFF"/>
        </w:rPr>
        <w:t xml:space="preserve"> in relation to third parties</w:t>
      </w:r>
      <w:r w:rsidR="001B1686" w:rsidRPr="0043224D">
        <w:rPr>
          <w:rFonts w:ascii="Times New Roman" w:hAnsi="Times New Roman" w:cs="Times New Roman"/>
          <w:color w:val="000000"/>
          <w:sz w:val="24"/>
          <w:szCs w:val="24"/>
          <w:shd w:val="clear" w:color="auto" w:fill="FFFFFF"/>
        </w:rPr>
        <w:t xml:space="preserve"> that the state should, “</w:t>
      </w:r>
      <w:r w:rsidR="001B1686" w:rsidRPr="0043224D">
        <w:rPr>
          <w:rFonts w:ascii="Times New Roman" w:hAnsi="Times New Roman" w:cs="Times New Roman"/>
          <w:sz w:val="24"/>
          <w:szCs w:val="24"/>
        </w:rPr>
        <w:t>[D]esist from issuing new concessions for logging, parcelling for private leasing, oil drilling, seismic surveys and road infrastructure projects in Mayan territories.”</w:t>
      </w:r>
      <w:r w:rsidR="001B1686" w:rsidRPr="0043224D">
        <w:rPr>
          <w:rStyle w:val="FootnoteReference"/>
          <w:rFonts w:ascii="Times New Roman" w:hAnsi="Times New Roman" w:cs="Times New Roman"/>
          <w:sz w:val="24"/>
          <w:szCs w:val="24"/>
        </w:rPr>
        <w:footnoteReference w:id="129"/>
      </w:r>
      <w:r w:rsidR="001B1686" w:rsidRPr="0043224D">
        <w:rPr>
          <w:rFonts w:ascii="Times New Roman" w:hAnsi="Times New Roman" w:cs="Times New Roman"/>
          <w:sz w:val="24"/>
          <w:szCs w:val="24"/>
        </w:rPr>
        <w:t xml:space="preserve"> </w:t>
      </w:r>
      <w:r w:rsidR="00A71DD1" w:rsidRPr="0043224D">
        <w:rPr>
          <w:rFonts w:ascii="Times New Roman" w:hAnsi="Times New Roman" w:cs="Times New Roman"/>
          <w:color w:val="000000"/>
          <w:sz w:val="24"/>
          <w:szCs w:val="24"/>
          <w:shd w:val="clear" w:color="auto" w:fill="FFFFFF"/>
        </w:rPr>
        <w:t xml:space="preserve"> </w:t>
      </w:r>
      <w:r w:rsidR="00DF4C24" w:rsidRPr="0043224D">
        <w:rPr>
          <w:rFonts w:ascii="Times New Roman" w:hAnsi="Times New Roman" w:cs="Times New Roman"/>
          <w:color w:val="000000"/>
          <w:sz w:val="24"/>
          <w:szCs w:val="24"/>
          <w:shd w:val="clear" w:color="auto" w:fill="FFFFFF"/>
        </w:rPr>
        <w:t>Similarly</w:t>
      </w:r>
      <w:r w:rsidR="00DD1538" w:rsidRPr="0043224D">
        <w:rPr>
          <w:rFonts w:ascii="Times New Roman" w:hAnsi="Times New Roman" w:cs="Times New Roman"/>
          <w:color w:val="000000"/>
          <w:sz w:val="24"/>
          <w:szCs w:val="24"/>
          <w:shd w:val="clear" w:color="auto" w:fill="FFFFFF"/>
        </w:rPr>
        <w:t>,</w:t>
      </w:r>
      <w:r w:rsidR="00A509E5" w:rsidRPr="0043224D">
        <w:rPr>
          <w:rFonts w:ascii="Times New Roman" w:hAnsi="Times New Roman" w:cs="Times New Roman"/>
          <w:color w:val="000000"/>
          <w:sz w:val="24"/>
          <w:szCs w:val="24"/>
          <w:shd w:val="clear" w:color="auto" w:fill="FFFFFF"/>
        </w:rPr>
        <w:t xml:space="preserve"> in 2008</w:t>
      </w:r>
      <w:r w:rsidR="00DF4C24" w:rsidRPr="0043224D">
        <w:rPr>
          <w:rFonts w:ascii="Times New Roman" w:hAnsi="Times New Roman" w:cs="Times New Roman"/>
          <w:color w:val="000000"/>
          <w:sz w:val="24"/>
          <w:szCs w:val="24"/>
          <w:shd w:val="clear" w:color="auto" w:fill="FFFFFF"/>
        </w:rPr>
        <w:t xml:space="preserve"> the HRC noted in its concluding observations on Nicaragua, regarding </w:t>
      </w:r>
      <w:r w:rsidR="00A509E5" w:rsidRPr="0043224D">
        <w:rPr>
          <w:rFonts w:ascii="Times New Roman" w:hAnsi="Times New Roman" w:cs="Times New Roman"/>
          <w:color w:val="000000"/>
          <w:sz w:val="24"/>
          <w:szCs w:val="24"/>
          <w:shd w:val="clear" w:color="auto" w:fill="FFFFFF"/>
        </w:rPr>
        <w:t xml:space="preserve">the </w:t>
      </w:r>
      <w:r w:rsidR="00A509E5" w:rsidRPr="0043224D">
        <w:rPr>
          <w:rFonts w:ascii="Times New Roman" w:hAnsi="Times New Roman" w:cs="Times New Roman"/>
          <w:i/>
          <w:color w:val="000000"/>
          <w:sz w:val="24"/>
          <w:szCs w:val="24"/>
          <w:shd w:val="clear" w:color="auto" w:fill="FFFFFF"/>
        </w:rPr>
        <w:t>Awas Tingni</w:t>
      </w:r>
      <w:r w:rsidR="00A509E5" w:rsidRPr="0043224D">
        <w:rPr>
          <w:rFonts w:ascii="Times New Roman" w:hAnsi="Times New Roman" w:cs="Times New Roman"/>
          <w:color w:val="000000"/>
          <w:sz w:val="24"/>
          <w:szCs w:val="24"/>
          <w:shd w:val="clear" w:color="auto" w:fill="FFFFFF"/>
        </w:rPr>
        <w:t xml:space="preserve"> case and the ruling of the Inter-American Court of Human Rights in favour of collective</w:t>
      </w:r>
      <w:r w:rsidR="00B00384" w:rsidRPr="0043224D">
        <w:rPr>
          <w:rFonts w:ascii="Times New Roman" w:hAnsi="Times New Roman" w:cs="Times New Roman"/>
          <w:color w:val="000000"/>
          <w:sz w:val="24"/>
          <w:szCs w:val="24"/>
          <w:shd w:val="clear" w:color="auto" w:fill="FFFFFF"/>
        </w:rPr>
        <w:t xml:space="preserve"> ancestral</w:t>
      </w:r>
      <w:r w:rsidR="00A509E5" w:rsidRPr="0043224D">
        <w:rPr>
          <w:rFonts w:ascii="Times New Roman" w:hAnsi="Times New Roman" w:cs="Times New Roman"/>
          <w:color w:val="000000"/>
          <w:sz w:val="24"/>
          <w:szCs w:val="24"/>
          <w:shd w:val="clear" w:color="auto" w:fill="FFFFFF"/>
        </w:rPr>
        <w:t xml:space="preserve"> land rights, that in the interim six years, the indigenous community at the heart of the case still had no legal title of ownership, and that</w:t>
      </w:r>
      <w:r w:rsidR="00303AA4" w:rsidRPr="0043224D">
        <w:rPr>
          <w:rFonts w:ascii="Times New Roman" w:hAnsi="Times New Roman" w:cs="Times New Roman"/>
          <w:color w:val="000000"/>
          <w:sz w:val="24"/>
          <w:szCs w:val="24"/>
          <w:shd w:val="clear" w:color="auto" w:fill="FFFFFF"/>
        </w:rPr>
        <w:t xml:space="preserve"> furthermore </w:t>
      </w:r>
      <w:r w:rsidR="00A509E5" w:rsidRPr="0043224D">
        <w:rPr>
          <w:rFonts w:ascii="Times New Roman" w:hAnsi="Times New Roman" w:cs="Times New Roman"/>
          <w:color w:val="000000"/>
          <w:sz w:val="24"/>
          <w:szCs w:val="24"/>
          <w:shd w:val="clear" w:color="auto" w:fill="FFFFFF"/>
        </w:rPr>
        <w:t>illegal logging was ongoing.</w:t>
      </w:r>
      <w:r w:rsidR="00A509E5" w:rsidRPr="0043224D">
        <w:rPr>
          <w:rStyle w:val="FootnoteReference"/>
          <w:rFonts w:ascii="Times New Roman" w:hAnsi="Times New Roman" w:cs="Times New Roman"/>
          <w:color w:val="000000"/>
          <w:sz w:val="24"/>
          <w:szCs w:val="24"/>
          <w:shd w:val="clear" w:color="auto" w:fill="FFFFFF"/>
        </w:rPr>
        <w:footnoteReference w:id="130"/>
      </w:r>
      <w:r w:rsidR="00A509E5" w:rsidRPr="0043224D">
        <w:rPr>
          <w:rFonts w:ascii="Times New Roman" w:hAnsi="Times New Roman" w:cs="Times New Roman"/>
          <w:color w:val="000000"/>
          <w:sz w:val="24"/>
          <w:szCs w:val="24"/>
          <w:shd w:val="clear" w:color="auto" w:fill="FFFFFF"/>
        </w:rPr>
        <w:t xml:space="preserve">     </w:t>
      </w:r>
      <w:r w:rsidR="00DF4C24" w:rsidRPr="0043224D">
        <w:rPr>
          <w:rFonts w:ascii="Times New Roman" w:hAnsi="Times New Roman" w:cs="Times New Roman"/>
          <w:color w:val="000000"/>
          <w:sz w:val="24"/>
          <w:szCs w:val="24"/>
          <w:shd w:val="clear" w:color="auto" w:fill="FFFFFF"/>
        </w:rPr>
        <w:t xml:space="preserve"> </w:t>
      </w:r>
      <w:r w:rsidRPr="0043224D">
        <w:rPr>
          <w:rFonts w:ascii="Times New Roman" w:hAnsi="Times New Roman" w:cs="Times New Roman"/>
          <w:color w:val="000000"/>
          <w:sz w:val="24"/>
          <w:szCs w:val="24"/>
          <w:shd w:val="clear" w:color="auto" w:fill="FFFFFF"/>
        </w:rPr>
        <w:t xml:space="preserve">   </w:t>
      </w:r>
    </w:p>
    <w:p w:rsidR="007562E9" w:rsidRPr="0043224D" w:rsidRDefault="007562E9" w:rsidP="0043224D">
      <w:pPr>
        <w:pStyle w:val="NoSpacing"/>
        <w:spacing w:line="360" w:lineRule="auto"/>
        <w:rPr>
          <w:rFonts w:ascii="Times New Roman" w:hAnsi="Times New Roman" w:cs="Times New Roman"/>
          <w:color w:val="000000"/>
          <w:sz w:val="24"/>
          <w:szCs w:val="24"/>
          <w:shd w:val="clear" w:color="auto" w:fill="FFFFFF"/>
          <w:vertAlign w:val="subscript"/>
        </w:rPr>
      </w:pPr>
    </w:p>
    <w:p w:rsidR="00C85EA7" w:rsidRPr="009D6EE2" w:rsidRDefault="009D6EE2" w:rsidP="0043224D">
      <w:pPr>
        <w:pStyle w:val="Heading2"/>
        <w:spacing w:line="360" w:lineRule="auto"/>
      </w:pPr>
      <w:bookmarkStart w:id="28" w:name="_Toc399848360"/>
      <w:r w:rsidRPr="009D6EE2">
        <w:t>4.4</w:t>
      </w:r>
      <w:r w:rsidR="00D50494" w:rsidRPr="009D6EE2">
        <w:t xml:space="preserve"> Current Binding Legal Framework: ILO 169</w:t>
      </w:r>
      <w:bookmarkEnd w:id="28"/>
      <w:r w:rsidR="00D50494" w:rsidRPr="009D6EE2">
        <w:t xml:space="preserve"> </w:t>
      </w:r>
    </w:p>
    <w:p w:rsidR="00942B9B" w:rsidRPr="0043224D" w:rsidRDefault="00611414"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w:t>
      </w:r>
      <w:r w:rsidR="00091A39" w:rsidRPr="0043224D">
        <w:rPr>
          <w:rFonts w:ascii="Times New Roman" w:hAnsi="Times New Roman" w:cs="Times New Roman"/>
          <w:sz w:val="24"/>
          <w:szCs w:val="24"/>
        </w:rPr>
        <w:t xml:space="preserve"> </w:t>
      </w:r>
      <w:r w:rsidR="00734D4C" w:rsidRPr="0043224D">
        <w:rPr>
          <w:rFonts w:ascii="Times New Roman" w:hAnsi="Times New Roman" w:cs="Times New Roman"/>
          <w:sz w:val="24"/>
          <w:szCs w:val="24"/>
        </w:rPr>
        <w:t>right</w:t>
      </w:r>
      <w:r w:rsidR="00091A39" w:rsidRPr="0043224D">
        <w:rPr>
          <w:rFonts w:ascii="Times New Roman" w:hAnsi="Times New Roman" w:cs="Times New Roman"/>
          <w:sz w:val="24"/>
          <w:szCs w:val="24"/>
        </w:rPr>
        <w:t xml:space="preserve"> not to be displaced </w:t>
      </w:r>
      <w:r w:rsidR="00354E6B" w:rsidRPr="0043224D">
        <w:rPr>
          <w:rFonts w:ascii="Times New Roman" w:hAnsi="Times New Roman" w:cs="Times New Roman"/>
          <w:sz w:val="24"/>
          <w:szCs w:val="24"/>
        </w:rPr>
        <w:t xml:space="preserve">was first </w:t>
      </w:r>
      <w:r w:rsidRPr="0043224D">
        <w:rPr>
          <w:rFonts w:ascii="Times New Roman" w:hAnsi="Times New Roman" w:cs="Times New Roman"/>
          <w:sz w:val="24"/>
          <w:szCs w:val="24"/>
        </w:rPr>
        <w:t xml:space="preserve">expressed </w:t>
      </w:r>
      <w:r w:rsidR="00091A39" w:rsidRPr="0043224D">
        <w:rPr>
          <w:rFonts w:ascii="Times New Roman" w:hAnsi="Times New Roman" w:cs="Times New Roman"/>
          <w:sz w:val="24"/>
          <w:szCs w:val="24"/>
        </w:rPr>
        <w:t>in an</w:t>
      </w:r>
      <w:r w:rsidR="00E86053" w:rsidRPr="0043224D">
        <w:rPr>
          <w:rFonts w:ascii="Times New Roman" w:hAnsi="Times New Roman" w:cs="Times New Roman"/>
          <w:sz w:val="24"/>
          <w:szCs w:val="24"/>
        </w:rPr>
        <w:t>y</w:t>
      </w:r>
      <w:r w:rsidR="00091A39" w:rsidRPr="0043224D">
        <w:rPr>
          <w:rFonts w:ascii="Times New Roman" w:hAnsi="Times New Roman" w:cs="Times New Roman"/>
          <w:sz w:val="24"/>
          <w:szCs w:val="24"/>
        </w:rPr>
        <w:t xml:space="preserve"> international hu</w:t>
      </w:r>
      <w:r w:rsidR="00734D4C" w:rsidRPr="0043224D">
        <w:rPr>
          <w:rFonts w:ascii="Times New Roman" w:hAnsi="Times New Roman" w:cs="Times New Roman"/>
          <w:sz w:val="24"/>
          <w:szCs w:val="24"/>
        </w:rPr>
        <w:t>man rights instrument in</w:t>
      </w:r>
      <w:r w:rsidR="001C27C0" w:rsidRPr="0043224D">
        <w:rPr>
          <w:rFonts w:ascii="Times New Roman" w:hAnsi="Times New Roman" w:cs="Times New Roman"/>
          <w:sz w:val="24"/>
          <w:szCs w:val="24"/>
        </w:rPr>
        <w:t xml:space="preserve"> article 16 of</w:t>
      </w:r>
      <w:r w:rsidR="00734D4C" w:rsidRPr="0043224D">
        <w:rPr>
          <w:rFonts w:ascii="Times New Roman" w:hAnsi="Times New Roman" w:cs="Times New Roman"/>
          <w:sz w:val="24"/>
          <w:szCs w:val="24"/>
        </w:rPr>
        <w:t xml:space="preserve"> ILO 16</w:t>
      </w:r>
      <w:r w:rsidR="001C27C0" w:rsidRPr="0043224D">
        <w:rPr>
          <w:rFonts w:ascii="Times New Roman" w:hAnsi="Times New Roman" w:cs="Times New Roman"/>
          <w:sz w:val="24"/>
          <w:szCs w:val="24"/>
        </w:rPr>
        <w:t>9</w:t>
      </w:r>
      <w:r w:rsidR="00734D4C" w:rsidRPr="0043224D">
        <w:rPr>
          <w:rFonts w:ascii="Times New Roman" w:hAnsi="Times New Roman" w:cs="Times New Roman"/>
          <w:sz w:val="24"/>
          <w:szCs w:val="24"/>
        </w:rPr>
        <w:t>,</w:t>
      </w:r>
      <w:r w:rsidR="006926F5" w:rsidRPr="0043224D">
        <w:rPr>
          <w:rStyle w:val="FootnoteReference"/>
          <w:rFonts w:ascii="Times New Roman" w:hAnsi="Times New Roman" w:cs="Times New Roman"/>
          <w:sz w:val="24"/>
          <w:szCs w:val="24"/>
        </w:rPr>
        <w:footnoteReference w:id="131"/>
      </w:r>
      <w:r w:rsidR="00734D4C" w:rsidRPr="0043224D">
        <w:rPr>
          <w:rFonts w:ascii="Times New Roman" w:hAnsi="Times New Roman" w:cs="Times New Roman"/>
          <w:sz w:val="24"/>
          <w:szCs w:val="24"/>
        </w:rPr>
        <w:t xml:space="preserve"> </w:t>
      </w:r>
      <w:r w:rsidR="00574C85" w:rsidRPr="0043224D">
        <w:rPr>
          <w:rFonts w:ascii="Times New Roman" w:hAnsi="Times New Roman" w:cs="Times New Roman"/>
          <w:sz w:val="24"/>
          <w:szCs w:val="24"/>
        </w:rPr>
        <w:t>an</w:t>
      </w:r>
      <w:r w:rsidR="001C27C0" w:rsidRPr="0043224D">
        <w:rPr>
          <w:rFonts w:ascii="Times New Roman" w:hAnsi="Times New Roman" w:cs="Times New Roman"/>
          <w:sz w:val="24"/>
          <w:szCs w:val="24"/>
        </w:rPr>
        <w:t xml:space="preserve"> instrument </w:t>
      </w:r>
      <w:r w:rsidR="00574C85" w:rsidRPr="0043224D">
        <w:rPr>
          <w:rFonts w:ascii="Times New Roman" w:hAnsi="Times New Roman" w:cs="Times New Roman"/>
          <w:sz w:val="24"/>
          <w:szCs w:val="24"/>
        </w:rPr>
        <w:t xml:space="preserve">that </w:t>
      </w:r>
      <w:r w:rsidR="001C27C0" w:rsidRPr="0043224D">
        <w:rPr>
          <w:rFonts w:ascii="Times New Roman" w:hAnsi="Times New Roman" w:cs="Times New Roman"/>
          <w:sz w:val="24"/>
          <w:szCs w:val="24"/>
        </w:rPr>
        <w:t xml:space="preserve">pertains </w:t>
      </w:r>
      <w:r w:rsidR="00734D4C" w:rsidRPr="0043224D">
        <w:rPr>
          <w:rFonts w:ascii="Times New Roman" w:hAnsi="Times New Roman" w:cs="Times New Roman"/>
          <w:sz w:val="24"/>
          <w:szCs w:val="24"/>
        </w:rPr>
        <w:t xml:space="preserve">specifically </w:t>
      </w:r>
      <w:r w:rsidR="00303AA4" w:rsidRPr="0043224D">
        <w:rPr>
          <w:rFonts w:ascii="Times New Roman" w:hAnsi="Times New Roman" w:cs="Times New Roman"/>
          <w:sz w:val="24"/>
          <w:szCs w:val="24"/>
        </w:rPr>
        <w:t>to indigenous peoples.</w:t>
      </w:r>
      <w:r w:rsidR="00303AA4" w:rsidRPr="0043224D">
        <w:rPr>
          <w:rStyle w:val="FootnoteReference"/>
          <w:rFonts w:ascii="Times New Roman" w:hAnsi="Times New Roman" w:cs="Times New Roman"/>
          <w:sz w:val="24"/>
          <w:szCs w:val="24"/>
        </w:rPr>
        <w:footnoteReference w:id="132"/>
      </w:r>
      <w:r w:rsidR="00091A39" w:rsidRPr="0043224D">
        <w:rPr>
          <w:rFonts w:ascii="Times New Roman" w:hAnsi="Times New Roman" w:cs="Times New Roman"/>
          <w:sz w:val="24"/>
          <w:szCs w:val="24"/>
        </w:rPr>
        <w:t xml:space="preserve">  </w:t>
      </w:r>
      <w:r w:rsidR="00E86053" w:rsidRPr="0043224D">
        <w:rPr>
          <w:rFonts w:ascii="Times New Roman" w:hAnsi="Times New Roman" w:cs="Times New Roman"/>
          <w:sz w:val="24"/>
          <w:szCs w:val="24"/>
        </w:rPr>
        <w:t>In as much as the</w:t>
      </w:r>
      <w:r w:rsidR="00B972A5" w:rsidRPr="0043224D">
        <w:rPr>
          <w:rFonts w:ascii="Times New Roman" w:hAnsi="Times New Roman" w:cs="Times New Roman"/>
          <w:sz w:val="24"/>
          <w:szCs w:val="24"/>
        </w:rPr>
        <w:t xml:space="preserve"> general</w:t>
      </w:r>
      <w:r w:rsidR="00E86053" w:rsidRPr="0043224D">
        <w:rPr>
          <w:rFonts w:ascii="Times New Roman" w:hAnsi="Times New Roman" w:cs="Times New Roman"/>
          <w:sz w:val="24"/>
          <w:szCs w:val="24"/>
        </w:rPr>
        <w:t xml:space="preserve"> provisions of ILO 169 </w:t>
      </w:r>
      <w:r w:rsidR="00A047F6" w:rsidRPr="0043224D">
        <w:rPr>
          <w:rFonts w:ascii="Times New Roman" w:hAnsi="Times New Roman" w:cs="Times New Roman"/>
          <w:sz w:val="24"/>
          <w:szCs w:val="24"/>
        </w:rPr>
        <w:t>were at the time</w:t>
      </w:r>
      <w:r w:rsidR="00E86053" w:rsidRPr="0043224D">
        <w:rPr>
          <w:rFonts w:ascii="Times New Roman" w:hAnsi="Times New Roman" w:cs="Times New Roman"/>
          <w:sz w:val="24"/>
          <w:szCs w:val="24"/>
        </w:rPr>
        <w:t xml:space="preserve"> </w:t>
      </w:r>
      <w:r w:rsidR="0007550E" w:rsidRPr="0043224D">
        <w:rPr>
          <w:rFonts w:ascii="Times New Roman" w:hAnsi="Times New Roman" w:cs="Times New Roman"/>
          <w:sz w:val="24"/>
          <w:szCs w:val="24"/>
        </w:rPr>
        <w:t xml:space="preserve">seen </w:t>
      </w:r>
      <w:r w:rsidRPr="0043224D">
        <w:rPr>
          <w:rFonts w:ascii="Times New Roman" w:hAnsi="Times New Roman" w:cs="Times New Roman"/>
          <w:sz w:val="24"/>
          <w:szCs w:val="24"/>
        </w:rPr>
        <w:t>as reasonably</w:t>
      </w:r>
      <w:r w:rsidR="00E86053" w:rsidRPr="0043224D">
        <w:rPr>
          <w:rFonts w:ascii="Times New Roman" w:hAnsi="Times New Roman" w:cs="Times New Roman"/>
          <w:sz w:val="24"/>
          <w:szCs w:val="24"/>
        </w:rPr>
        <w:t xml:space="preserve"> progressive</w:t>
      </w:r>
      <w:r w:rsidR="00B972A5" w:rsidRPr="0043224D">
        <w:rPr>
          <w:rFonts w:ascii="Times New Roman" w:hAnsi="Times New Roman" w:cs="Times New Roman"/>
          <w:sz w:val="24"/>
          <w:szCs w:val="24"/>
        </w:rPr>
        <w:t xml:space="preserve"> in setting international standards</w:t>
      </w:r>
      <w:r w:rsidR="00E86053" w:rsidRPr="0043224D">
        <w:rPr>
          <w:rFonts w:ascii="Times New Roman" w:hAnsi="Times New Roman" w:cs="Times New Roman"/>
          <w:sz w:val="24"/>
          <w:szCs w:val="24"/>
        </w:rPr>
        <w:t>,</w:t>
      </w:r>
      <w:r w:rsidR="00E86053" w:rsidRPr="0043224D">
        <w:rPr>
          <w:rStyle w:val="FootnoteReference"/>
          <w:rFonts w:ascii="Times New Roman" w:hAnsi="Times New Roman" w:cs="Times New Roman"/>
          <w:sz w:val="24"/>
          <w:szCs w:val="24"/>
        </w:rPr>
        <w:footnoteReference w:id="133"/>
      </w:r>
      <w:r w:rsidR="00E86053" w:rsidRPr="0043224D">
        <w:rPr>
          <w:rFonts w:ascii="Times New Roman" w:hAnsi="Times New Roman" w:cs="Times New Roman"/>
          <w:sz w:val="24"/>
          <w:szCs w:val="24"/>
        </w:rPr>
        <w:t xml:space="preserve"> a</w:t>
      </w:r>
      <w:r w:rsidR="001C27C0" w:rsidRPr="0043224D">
        <w:rPr>
          <w:rFonts w:ascii="Times New Roman" w:hAnsi="Times New Roman" w:cs="Times New Roman"/>
          <w:sz w:val="24"/>
          <w:szCs w:val="24"/>
        </w:rPr>
        <w:t>rticle 16</w:t>
      </w:r>
      <w:r w:rsidRPr="0043224D">
        <w:rPr>
          <w:rFonts w:ascii="Times New Roman" w:hAnsi="Times New Roman" w:cs="Times New Roman"/>
          <w:sz w:val="24"/>
          <w:szCs w:val="24"/>
        </w:rPr>
        <w:t xml:space="preserve"> on the </w:t>
      </w:r>
      <w:r w:rsidR="00E22682" w:rsidRPr="0043224D">
        <w:rPr>
          <w:rFonts w:ascii="Times New Roman" w:hAnsi="Times New Roman" w:cs="Times New Roman"/>
          <w:sz w:val="24"/>
          <w:szCs w:val="24"/>
        </w:rPr>
        <w:t>removal</w:t>
      </w:r>
      <w:r w:rsidRPr="0043224D">
        <w:rPr>
          <w:rFonts w:ascii="Times New Roman" w:hAnsi="Times New Roman" w:cs="Times New Roman"/>
          <w:sz w:val="24"/>
          <w:szCs w:val="24"/>
        </w:rPr>
        <w:t>,</w:t>
      </w:r>
      <w:r w:rsidR="00E22682" w:rsidRPr="0043224D">
        <w:rPr>
          <w:rFonts w:ascii="Times New Roman" w:hAnsi="Times New Roman" w:cs="Times New Roman"/>
          <w:sz w:val="24"/>
          <w:szCs w:val="24"/>
        </w:rPr>
        <w:t xml:space="preserve"> </w:t>
      </w:r>
      <w:r w:rsidRPr="0043224D">
        <w:rPr>
          <w:rFonts w:ascii="Times New Roman" w:hAnsi="Times New Roman" w:cs="Times New Roman"/>
          <w:sz w:val="24"/>
          <w:szCs w:val="24"/>
        </w:rPr>
        <w:t>“</w:t>
      </w:r>
      <w:r w:rsidR="00E22682" w:rsidRPr="0043224D">
        <w:rPr>
          <w:rFonts w:ascii="Times New Roman" w:hAnsi="Times New Roman" w:cs="Times New Roman"/>
          <w:sz w:val="24"/>
          <w:szCs w:val="24"/>
        </w:rPr>
        <w:t>of peoples from the lands which they occupy”</w:t>
      </w:r>
      <w:r w:rsidR="001C27C0" w:rsidRPr="0043224D">
        <w:rPr>
          <w:rFonts w:ascii="Times New Roman" w:hAnsi="Times New Roman" w:cs="Times New Roman"/>
          <w:sz w:val="24"/>
          <w:szCs w:val="24"/>
        </w:rPr>
        <w:t xml:space="preserve"> is </w:t>
      </w:r>
      <w:r w:rsidR="00E86053" w:rsidRPr="0043224D">
        <w:rPr>
          <w:rFonts w:ascii="Times New Roman" w:hAnsi="Times New Roman" w:cs="Times New Roman"/>
          <w:sz w:val="24"/>
          <w:szCs w:val="24"/>
        </w:rPr>
        <w:t>however</w:t>
      </w:r>
      <w:r w:rsidR="00B972A5" w:rsidRPr="0043224D">
        <w:rPr>
          <w:rFonts w:ascii="Times New Roman" w:hAnsi="Times New Roman" w:cs="Times New Roman"/>
          <w:sz w:val="24"/>
          <w:szCs w:val="24"/>
        </w:rPr>
        <w:t xml:space="preserve"> highly</w:t>
      </w:r>
      <w:r w:rsidR="00E86053" w:rsidRPr="0043224D">
        <w:rPr>
          <w:rFonts w:ascii="Times New Roman" w:hAnsi="Times New Roman" w:cs="Times New Roman"/>
          <w:sz w:val="24"/>
          <w:szCs w:val="24"/>
        </w:rPr>
        <w:t xml:space="preserve"> </w:t>
      </w:r>
      <w:r w:rsidR="00C85EA7" w:rsidRPr="0043224D">
        <w:rPr>
          <w:rFonts w:ascii="Times New Roman" w:hAnsi="Times New Roman" w:cs="Times New Roman"/>
          <w:sz w:val="24"/>
          <w:szCs w:val="24"/>
        </w:rPr>
        <w:t>limited</w:t>
      </w:r>
      <w:r w:rsidR="001C27C0" w:rsidRPr="0043224D">
        <w:rPr>
          <w:rFonts w:ascii="Times New Roman" w:hAnsi="Times New Roman" w:cs="Times New Roman"/>
          <w:sz w:val="24"/>
          <w:szCs w:val="24"/>
        </w:rPr>
        <w:t xml:space="preserve"> by the</w:t>
      </w:r>
      <w:r w:rsidR="00B972A5" w:rsidRPr="0043224D">
        <w:rPr>
          <w:rFonts w:ascii="Times New Roman" w:hAnsi="Times New Roman" w:cs="Times New Roman"/>
          <w:sz w:val="24"/>
          <w:szCs w:val="24"/>
        </w:rPr>
        <w:t xml:space="preserve"> </w:t>
      </w:r>
      <w:r w:rsidR="001C27C0" w:rsidRPr="0043224D">
        <w:rPr>
          <w:rFonts w:ascii="Times New Roman" w:hAnsi="Times New Roman" w:cs="Times New Roman"/>
          <w:sz w:val="24"/>
          <w:szCs w:val="24"/>
        </w:rPr>
        <w:t>language</w:t>
      </w:r>
      <w:r w:rsidR="00C85EA7" w:rsidRPr="0043224D">
        <w:rPr>
          <w:rFonts w:ascii="Times New Roman" w:hAnsi="Times New Roman" w:cs="Times New Roman"/>
          <w:sz w:val="24"/>
          <w:szCs w:val="24"/>
        </w:rPr>
        <w:t xml:space="preserve"> and scope</w:t>
      </w:r>
      <w:r w:rsidR="001C27C0" w:rsidRPr="0043224D">
        <w:rPr>
          <w:rFonts w:ascii="Times New Roman" w:hAnsi="Times New Roman" w:cs="Times New Roman"/>
          <w:sz w:val="24"/>
          <w:szCs w:val="24"/>
        </w:rPr>
        <w:t xml:space="preserve"> of</w:t>
      </w:r>
      <w:r w:rsidR="00C85EA7" w:rsidRPr="0043224D">
        <w:rPr>
          <w:rFonts w:ascii="Times New Roman" w:hAnsi="Times New Roman" w:cs="Times New Roman"/>
          <w:sz w:val="24"/>
          <w:szCs w:val="24"/>
        </w:rPr>
        <w:t xml:space="preserve"> the word</w:t>
      </w:r>
      <w:r w:rsidR="00B972A5" w:rsidRPr="0043224D">
        <w:rPr>
          <w:rFonts w:ascii="Times New Roman" w:hAnsi="Times New Roman" w:cs="Times New Roman"/>
          <w:sz w:val="24"/>
          <w:szCs w:val="24"/>
        </w:rPr>
        <w:t xml:space="preserve"> </w:t>
      </w:r>
      <w:r w:rsidR="00574C85" w:rsidRPr="0043224D">
        <w:rPr>
          <w:rFonts w:ascii="Times New Roman" w:hAnsi="Times New Roman" w:cs="Times New Roman"/>
          <w:sz w:val="24"/>
          <w:szCs w:val="24"/>
        </w:rPr>
        <w:t>“</w:t>
      </w:r>
      <w:r w:rsidR="00E72D15" w:rsidRPr="0043224D">
        <w:rPr>
          <w:rFonts w:ascii="Times New Roman" w:hAnsi="Times New Roman" w:cs="Times New Roman"/>
          <w:sz w:val="24"/>
          <w:szCs w:val="24"/>
        </w:rPr>
        <w:t>necessity”</w:t>
      </w:r>
      <w:r w:rsidR="00E22682" w:rsidRPr="0043224D">
        <w:rPr>
          <w:rFonts w:ascii="Times New Roman" w:hAnsi="Times New Roman" w:cs="Times New Roman"/>
          <w:sz w:val="24"/>
          <w:szCs w:val="24"/>
        </w:rPr>
        <w:t>, if somewhat tempered by, “</w:t>
      </w:r>
      <w:r w:rsidR="0007550E" w:rsidRPr="0043224D">
        <w:rPr>
          <w:rFonts w:ascii="Times New Roman" w:hAnsi="Times New Roman" w:cs="Times New Roman"/>
          <w:sz w:val="24"/>
          <w:szCs w:val="24"/>
        </w:rPr>
        <w:t xml:space="preserve">only in </w:t>
      </w:r>
      <w:r w:rsidR="00E22682" w:rsidRPr="0043224D">
        <w:rPr>
          <w:rFonts w:ascii="Times New Roman" w:hAnsi="Times New Roman" w:cs="Times New Roman"/>
          <w:sz w:val="24"/>
          <w:szCs w:val="24"/>
        </w:rPr>
        <w:t>exceptional measures”</w:t>
      </w:r>
      <w:r w:rsidR="00E72D15" w:rsidRPr="0043224D">
        <w:rPr>
          <w:rFonts w:ascii="Times New Roman" w:hAnsi="Times New Roman" w:cs="Times New Roman"/>
          <w:sz w:val="24"/>
          <w:szCs w:val="24"/>
        </w:rPr>
        <w:t>.</w:t>
      </w:r>
      <w:r w:rsidR="00E22682" w:rsidRPr="0043224D">
        <w:rPr>
          <w:rStyle w:val="FootnoteReference"/>
          <w:rFonts w:ascii="Times New Roman" w:hAnsi="Times New Roman" w:cs="Times New Roman"/>
          <w:sz w:val="24"/>
          <w:szCs w:val="24"/>
        </w:rPr>
        <w:footnoteReference w:id="134"/>
      </w:r>
    </w:p>
    <w:p w:rsidR="00324866" w:rsidRPr="0043224D" w:rsidRDefault="00F063BA"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Clearly the key word in the</w:t>
      </w:r>
      <w:r w:rsidR="00C85EA7" w:rsidRPr="0043224D">
        <w:rPr>
          <w:rFonts w:ascii="Times New Roman" w:hAnsi="Times New Roman" w:cs="Times New Roman"/>
          <w:sz w:val="24"/>
          <w:szCs w:val="24"/>
        </w:rPr>
        <w:t xml:space="preserve"> provision is “necessary”. </w:t>
      </w:r>
      <w:r w:rsidR="00E72D15" w:rsidRPr="0043224D">
        <w:rPr>
          <w:rFonts w:ascii="Times New Roman" w:hAnsi="Times New Roman" w:cs="Times New Roman"/>
          <w:sz w:val="24"/>
          <w:szCs w:val="24"/>
        </w:rPr>
        <w:t>There is a presumption that development</w:t>
      </w:r>
      <w:r w:rsidR="00B972A5" w:rsidRPr="0043224D">
        <w:rPr>
          <w:rFonts w:ascii="Times New Roman" w:hAnsi="Times New Roman" w:cs="Times New Roman"/>
          <w:sz w:val="24"/>
          <w:szCs w:val="24"/>
        </w:rPr>
        <w:t xml:space="preserve"> on indigenous lands</w:t>
      </w:r>
      <w:r w:rsidR="0007550E" w:rsidRPr="0043224D">
        <w:rPr>
          <w:rFonts w:ascii="Times New Roman" w:hAnsi="Times New Roman" w:cs="Times New Roman"/>
          <w:sz w:val="24"/>
          <w:szCs w:val="24"/>
        </w:rPr>
        <w:t xml:space="preserve"> is, in other words,</w:t>
      </w:r>
      <w:r w:rsidR="00E22682" w:rsidRPr="0043224D">
        <w:rPr>
          <w:rFonts w:ascii="Times New Roman" w:hAnsi="Times New Roman" w:cs="Times New Roman"/>
          <w:sz w:val="24"/>
          <w:szCs w:val="24"/>
        </w:rPr>
        <w:t xml:space="preserve"> first and foremost</w:t>
      </w:r>
      <w:r w:rsidR="007864ED" w:rsidRPr="0043224D">
        <w:rPr>
          <w:rFonts w:ascii="Times New Roman" w:hAnsi="Times New Roman" w:cs="Times New Roman"/>
          <w:sz w:val="24"/>
          <w:szCs w:val="24"/>
        </w:rPr>
        <w:t xml:space="preserve"> understood as</w:t>
      </w:r>
      <w:r w:rsidR="006C588C" w:rsidRPr="0043224D">
        <w:rPr>
          <w:rFonts w:ascii="Times New Roman" w:hAnsi="Times New Roman" w:cs="Times New Roman"/>
          <w:sz w:val="24"/>
          <w:szCs w:val="24"/>
        </w:rPr>
        <w:t xml:space="preserve"> a necessity</w:t>
      </w:r>
      <w:r w:rsidR="00176731" w:rsidRPr="0043224D">
        <w:rPr>
          <w:rFonts w:ascii="Times New Roman" w:hAnsi="Times New Roman" w:cs="Times New Roman"/>
          <w:sz w:val="24"/>
          <w:szCs w:val="24"/>
        </w:rPr>
        <w:t xml:space="preserve"> </w:t>
      </w:r>
      <w:r w:rsidR="00B972A5" w:rsidRPr="0043224D">
        <w:rPr>
          <w:rFonts w:ascii="Times New Roman" w:hAnsi="Times New Roman" w:cs="Times New Roman"/>
          <w:sz w:val="24"/>
          <w:szCs w:val="24"/>
        </w:rPr>
        <w:t xml:space="preserve">in the national interest. </w:t>
      </w:r>
      <w:r w:rsidR="006926F5" w:rsidRPr="0043224D">
        <w:rPr>
          <w:rFonts w:ascii="Times New Roman" w:hAnsi="Times New Roman" w:cs="Times New Roman"/>
          <w:sz w:val="24"/>
          <w:szCs w:val="24"/>
        </w:rPr>
        <w:t>There</w:t>
      </w:r>
      <w:r w:rsidR="002D3E10" w:rsidRPr="0043224D">
        <w:rPr>
          <w:rFonts w:ascii="Times New Roman" w:hAnsi="Times New Roman" w:cs="Times New Roman"/>
          <w:sz w:val="24"/>
          <w:szCs w:val="24"/>
        </w:rPr>
        <w:t xml:space="preserve"> is </w:t>
      </w:r>
      <w:r w:rsidR="006926F5" w:rsidRPr="0043224D">
        <w:rPr>
          <w:rFonts w:ascii="Times New Roman" w:hAnsi="Times New Roman" w:cs="Times New Roman"/>
          <w:sz w:val="24"/>
          <w:szCs w:val="24"/>
        </w:rPr>
        <w:t xml:space="preserve">therefore </w:t>
      </w:r>
      <w:r w:rsidR="00176731" w:rsidRPr="0043224D">
        <w:rPr>
          <w:rFonts w:ascii="Times New Roman" w:hAnsi="Times New Roman" w:cs="Times New Roman"/>
          <w:sz w:val="24"/>
          <w:szCs w:val="24"/>
        </w:rPr>
        <w:t xml:space="preserve">a majoritarian assumption underlying the language of the instrument favouring </w:t>
      </w:r>
      <w:r w:rsidR="006C588C" w:rsidRPr="0043224D">
        <w:rPr>
          <w:rFonts w:ascii="Times New Roman" w:hAnsi="Times New Roman" w:cs="Times New Roman"/>
          <w:sz w:val="24"/>
          <w:szCs w:val="24"/>
        </w:rPr>
        <w:t xml:space="preserve">the state’s imperative </w:t>
      </w:r>
      <w:r w:rsidR="008760F6" w:rsidRPr="0043224D">
        <w:rPr>
          <w:rFonts w:ascii="Times New Roman" w:hAnsi="Times New Roman" w:cs="Times New Roman"/>
          <w:sz w:val="24"/>
          <w:szCs w:val="24"/>
        </w:rPr>
        <w:t>to further</w:t>
      </w:r>
      <w:r w:rsidR="006C588C" w:rsidRPr="0043224D">
        <w:rPr>
          <w:rFonts w:ascii="Times New Roman" w:hAnsi="Times New Roman" w:cs="Times New Roman"/>
          <w:sz w:val="24"/>
          <w:szCs w:val="24"/>
        </w:rPr>
        <w:t xml:space="preserve"> </w:t>
      </w:r>
      <w:r w:rsidR="00E22682" w:rsidRPr="0043224D">
        <w:rPr>
          <w:rFonts w:ascii="Times New Roman" w:hAnsi="Times New Roman" w:cs="Times New Roman"/>
          <w:sz w:val="24"/>
          <w:szCs w:val="24"/>
        </w:rPr>
        <w:t xml:space="preserve">national </w:t>
      </w:r>
      <w:r w:rsidR="00611414" w:rsidRPr="0043224D">
        <w:rPr>
          <w:rFonts w:ascii="Times New Roman" w:hAnsi="Times New Roman" w:cs="Times New Roman"/>
          <w:sz w:val="24"/>
          <w:szCs w:val="24"/>
        </w:rPr>
        <w:t xml:space="preserve">development. </w:t>
      </w:r>
      <w:r w:rsidR="007864ED" w:rsidRPr="0043224D">
        <w:rPr>
          <w:rFonts w:ascii="Times New Roman" w:hAnsi="Times New Roman" w:cs="Times New Roman"/>
          <w:sz w:val="24"/>
          <w:szCs w:val="24"/>
        </w:rPr>
        <w:t xml:space="preserve">In other words, the state’s right comes first, </w:t>
      </w:r>
      <w:r w:rsidR="00574C85" w:rsidRPr="0043224D">
        <w:rPr>
          <w:rFonts w:ascii="Times New Roman" w:hAnsi="Times New Roman" w:cs="Times New Roman"/>
          <w:sz w:val="24"/>
          <w:szCs w:val="24"/>
        </w:rPr>
        <w:t>over</w:t>
      </w:r>
      <w:r w:rsidR="00611414" w:rsidRPr="0043224D">
        <w:rPr>
          <w:rFonts w:ascii="Times New Roman" w:hAnsi="Times New Roman" w:cs="Times New Roman"/>
          <w:sz w:val="24"/>
          <w:szCs w:val="24"/>
        </w:rPr>
        <w:t>-riding</w:t>
      </w:r>
      <w:r w:rsidR="00574C85" w:rsidRPr="0043224D">
        <w:rPr>
          <w:rFonts w:ascii="Times New Roman" w:hAnsi="Times New Roman" w:cs="Times New Roman"/>
          <w:sz w:val="24"/>
          <w:szCs w:val="24"/>
        </w:rPr>
        <w:t xml:space="preserve"> the right of indigenous peoples’</w:t>
      </w:r>
      <w:r w:rsidR="007864ED" w:rsidRPr="0043224D">
        <w:rPr>
          <w:rFonts w:ascii="Times New Roman" w:hAnsi="Times New Roman" w:cs="Times New Roman"/>
          <w:sz w:val="24"/>
          <w:szCs w:val="24"/>
        </w:rPr>
        <w:t xml:space="preserve"> to their</w:t>
      </w:r>
      <w:r w:rsidR="00574C85" w:rsidRPr="0043224D">
        <w:rPr>
          <w:rFonts w:ascii="Times New Roman" w:hAnsi="Times New Roman" w:cs="Times New Roman"/>
          <w:sz w:val="24"/>
          <w:szCs w:val="24"/>
        </w:rPr>
        <w:t xml:space="preserve"> lands and the resources therein.</w:t>
      </w:r>
      <w:r w:rsidR="006926F5" w:rsidRPr="0043224D">
        <w:rPr>
          <w:rFonts w:ascii="Times New Roman" w:hAnsi="Times New Roman" w:cs="Times New Roman"/>
          <w:sz w:val="24"/>
          <w:szCs w:val="24"/>
        </w:rPr>
        <w:t xml:space="preserve"> Article 16 (1) on the right not to be </w:t>
      </w:r>
      <w:r w:rsidR="00D62551" w:rsidRPr="0043224D">
        <w:rPr>
          <w:rFonts w:ascii="Times New Roman" w:hAnsi="Times New Roman" w:cs="Times New Roman"/>
          <w:sz w:val="24"/>
          <w:szCs w:val="24"/>
        </w:rPr>
        <w:t>“</w:t>
      </w:r>
      <w:r w:rsidR="00611414" w:rsidRPr="0043224D">
        <w:rPr>
          <w:rFonts w:ascii="Times New Roman" w:hAnsi="Times New Roman" w:cs="Times New Roman"/>
          <w:sz w:val="24"/>
          <w:szCs w:val="24"/>
        </w:rPr>
        <w:t>re</w:t>
      </w:r>
      <w:r w:rsidR="00D62551" w:rsidRPr="0043224D">
        <w:rPr>
          <w:rFonts w:ascii="Times New Roman" w:hAnsi="Times New Roman" w:cs="Times New Roman"/>
          <w:sz w:val="24"/>
          <w:szCs w:val="24"/>
        </w:rPr>
        <w:t>moved from the lands which they occupy”</w:t>
      </w:r>
      <w:r w:rsidR="006926F5" w:rsidRPr="0043224D">
        <w:rPr>
          <w:rFonts w:ascii="Times New Roman" w:hAnsi="Times New Roman" w:cs="Times New Roman"/>
          <w:sz w:val="24"/>
          <w:szCs w:val="24"/>
        </w:rPr>
        <w:t xml:space="preserve"> is</w:t>
      </w:r>
      <w:r w:rsidR="00007AC7" w:rsidRPr="0043224D">
        <w:rPr>
          <w:rFonts w:ascii="Times New Roman" w:hAnsi="Times New Roman" w:cs="Times New Roman"/>
          <w:sz w:val="24"/>
          <w:szCs w:val="24"/>
        </w:rPr>
        <w:t xml:space="preserve"> thus</w:t>
      </w:r>
      <w:r w:rsidR="006926F5" w:rsidRPr="0043224D">
        <w:rPr>
          <w:rFonts w:ascii="Times New Roman" w:hAnsi="Times New Roman" w:cs="Times New Roman"/>
          <w:sz w:val="24"/>
          <w:szCs w:val="24"/>
        </w:rPr>
        <w:t xml:space="preserve"> posited</w:t>
      </w:r>
      <w:r w:rsidR="00D62551" w:rsidRPr="0043224D">
        <w:rPr>
          <w:rFonts w:ascii="Times New Roman" w:hAnsi="Times New Roman" w:cs="Times New Roman"/>
          <w:sz w:val="24"/>
          <w:szCs w:val="24"/>
        </w:rPr>
        <w:t xml:space="preserve"> in the Convention</w:t>
      </w:r>
      <w:r w:rsidR="00007AC7" w:rsidRPr="0043224D">
        <w:rPr>
          <w:rFonts w:ascii="Times New Roman" w:hAnsi="Times New Roman" w:cs="Times New Roman"/>
          <w:sz w:val="24"/>
          <w:szCs w:val="24"/>
        </w:rPr>
        <w:t xml:space="preserve"> </w:t>
      </w:r>
      <w:r w:rsidR="006926F5" w:rsidRPr="0043224D">
        <w:rPr>
          <w:rFonts w:ascii="Times New Roman" w:hAnsi="Times New Roman" w:cs="Times New Roman"/>
          <w:sz w:val="24"/>
          <w:szCs w:val="24"/>
        </w:rPr>
        <w:t>as a basic principle</w:t>
      </w:r>
      <w:r w:rsidR="0007550E" w:rsidRPr="0043224D">
        <w:rPr>
          <w:rFonts w:ascii="Times New Roman" w:hAnsi="Times New Roman" w:cs="Times New Roman"/>
          <w:sz w:val="24"/>
          <w:szCs w:val="24"/>
        </w:rPr>
        <w:t xml:space="preserve"> to be interpreted</w:t>
      </w:r>
      <w:r w:rsidR="002A4935" w:rsidRPr="0043224D">
        <w:rPr>
          <w:rFonts w:ascii="Times New Roman" w:hAnsi="Times New Roman" w:cs="Times New Roman"/>
          <w:sz w:val="24"/>
          <w:szCs w:val="24"/>
        </w:rPr>
        <w:t>. M</w:t>
      </w:r>
      <w:r w:rsidR="00007AC7" w:rsidRPr="0043224D">
        <w:rPr>
          <w:rFonts w:ascii="Times New Roman" w:hAnsi="Times New Roman" w:cs="Times New Roman"/>
          <w:sz w:val="24"/>
          <w:szCs w:val="24"/>
        </w:rPr>
        <w:t>oreover,</w:t>
      </w:r>
      <w:r w:rsidR="00D62551" w:rsidRPr="0043224D">
        <w:rPr>
          <w:rFonts w:ascii="Times New Roman" w:hAnsi="Times New Roman" w:cs="Times New Roman"/>
          <w:sz w:val="24"/>
          <w:szCs w:val="24"/>
        </w:rPr>
        <w:t xml:space="preserve"> </w:t>
      </w:r>
      <w:r w:rsidR="002A4935" w:rsidRPr="0043224D">
        <w:rPr>
          <w:rFonts w:ascii="Times New Roman" w:hAnsi="Times New Roman" w:cs="Times New Roman"/>
          <w:sz w:val="24"/>
          <w:szCs w:val="24"/>
        </w:rPr>
        <w:t>the</w:t>
      </w:r>
      <w:r w:rsidR="00D62551" w:rsidRPr="0043224D">
        <w:rPr>
          <w:rFonts w:ascii="Times New Roman" w:hAnsi="Times New Roman" w:cs="Times New Roman"/>
          <w:sz w:val="24"/>
          <w:szCs w:val="24"/>
        </w:rPr>
        <w:t xml:space="preserve"> right</w:t>
      </w:r>
      <w:r w:rsidR="002A4935" w:rsidRPr="0043224D">
        <w:rPr>
          <w:rFonts w:ascii="Times New Roman" w:hAnsi="Times New Roman" w:cs="Times New Roman"/>
          <w:sz w:val="24"/>
          <w:szCs w:val="24"/>
        </w:rPr>
        <w:t xml:space="preserve"> </w:t>
      </w:r>
      <w:r w:rsidR="007864ED" w:rsidRPr="0043224D">
        <w:rPr>
          <w:rFonts w:ascii="Times New Roman" w:hAnsi="Times New Roman" w:cs="Times New Roman"/>
          <w:sz w:val="24"/>
          <w:szCs w:val="24"/>
        </w:rPr>
        <w:t xml:space="preserve">not to be displaced </w:t>
      </w:r>
      <w:r w:rsidR="002A4935" w:rsidRPr="0043224D">
        <w:rPr>
          <w:rFonts w:ascii="Times New Roman" w:hAnsi="Times New Roman" w:cs="Times New Roman"/>
          <w:sz w:val="24"/>
          <w:szCs w:val="24"/>
        </w:rPr>
        <w:t>is</w:t>
      </w:r>
      <w:r w:rsidR="006926F5" w:rsidRPr="0043224D">
        <w:rPr>
          <w:rFonts w:ascii="Times New Roman" w:hAnsi="Times New Roman" w:cs="Times New Roman"/>
          <w:sz w:val="24"/>
          <w:szCs w:val="24"/>
        </w:rPr>
        <w:t xml:space="preserve"> </w:t>
      </w:r>
      <w:r w:rsidR="00D62551" w:rsidRPr="0043224D">
        <w:rPr>
          <w:rFonts w:ascii="Times New Roman" w:hAnsi="Times New Roman" w:cs="Times New Roman"/>
          <w:sz w:val="24"/>
          <w:szCs w:val="24"/>
        </w:rPr>
        <w:t xml:space="preserve">qualified by the state’s right to develop </w:t>
      </w:r>
      <w:r w:rsidR="00007AC7" w:rsidRPr="0043224D">
        <w:rPr>
          <w:rFonts w:ascii="Times New Roman" w:hAnsi="Times New Roman" w:cs="Times New Roman"/>
          <w:sz w:val="24"/>
          <w:szCs w:val="24"/>
        </w:rPr>
        <w:t>on and below indigenous lands; meaning</w:t>
      </w:r>
      <w:r w:rsidR="00D62551" w:rsidRPr="0043224D">
        <w:rPr>
          <w:rFonts w:ascii="Times New Roman" w:hAnsi="Times New Roman" w:cs="Times New Roman"/>
          <w:sz w:val="24"/>
          <w:szCs w:val="24"/>
        </w:rPr>
        <w:t>, in essence, the state may</w:t>
      </w:r>
      <w:r w:rsidR="00007AC7" w:rsidRPr="0043224D">
        <w:rPr>
          <w:rFonts w:ascii="Times New Roman" w:hAnsi="Times New Roman" w:cs="Times New Roman"/>
          <w:sz w:val="24"/>
          <w:szCs w:val="24"/>
        </w:rPr>
        <w:t xml:space="preserve"> as</w:t>
      </w:r>
      <w:r w:rsidR="008760F6" w:rsidRPr="0043224D">
        <w:rPr>
          <w:rFonts w:ascii="Times New Roman" w:hAnsi="Times New Roman" w:cs="Times New Roman"/>
          <w:sz w:val="24"/>
          <w:szCs w:val="24"/>
        </w:rPr>
        <w:t xml:space="preserve"> a</w:t>
      </w:r>
      <w:r w:rsidR="00007AC7" w:rsidRPr="0043224D">
        <w:rPr>
          <w:rFonts w:ascii="Times New Roman" w:hAnsi="Times New Roman" w:cs="Times New Roman"/>
          <w:sz w:val="24"/>
          <w:szCs w:val="24"/>
        </w:rPr>
        <w:t xml:space="preserve"> general principle, premised </w:t>
      </w:r>
      <w:r w:rsidR="008760F6" w:rsidRPr="0043224D">
        <w:rPr>
          <w:rFonts w:ascii="Times New Roman" w:hAnsi="Times New Roman" w:cs="Times New Roman"/>
          <w:sz w:val="24"/>
          <w:szCs w:val="24"/>
        </w:rPr>
        <w:t>upon</w:t>
      </w:r>
      <w:r w:rsidR="00007AC7" w:rsidRPr="0043224D">
        <w:rPr>
          <w:rFonts w:ascii="Times New Roman" w:hAnsi="Times New Roman" w:cs="Times New Roman"/>
          <w:sz w:val="24"/>
          <w:szCs w:val="24"/>
        </w:rPr>
        <w:t xml:space="preserve"> the national interest, grant</w:t>
      </w:r>
      <w:r w:rsidR="00D62551" w:rsidRPr="0043224D">
        <w:rPr>
          <w:rFonts w:ascii="Times New Roman" w:hAnsi="Times New Roman" w:cs="Times New Roman"/>
          <w:sz w:val="24"/>
          <w:szCs w:val="24"/>
        </w:rPr>
        <w:t xml:space="preserve"> concessions to extractive</w:t>
      </w:r>
      <w:r w:rsidR="00007AC7" w:rsidRPr="0043224D">
        <w:rPr>
          <w:rFonts w:ascii="Times New Roman" w:hAnsi="Times New Roman" w:cs="Times New Roman"/>
          <w:sz w:val="24"/>
          <w:szCs w:val="24"/>
        </w:rPr>
        <w:t xml:space="preserve"> and logging</w:t>
      </w:r>
      <w:r w:rsidR="00D62551" w:rsidRPr="0043224D">
        <w:rPr>
          <w:rFonts w:ascii="Times New Roman" w:hAnsi="Times New Roman" w:cs="Times New Roman"/>
          <w:sz w:val="24"/>
          <w:szCs w:val="24"/>
        </w:rPr>
        <w:t xml:space="preserve"> companies, and</w:t>
      </w:r>
      <w:r w:rsidR="00007AC7" w:rsidRPr="0043224D">
        <w:rPr>
          <w:rFonts w:ascii="Times New Roman" w:hAnsi="Times New Roman" w:cs="Times New Roman"/>
          <w:sz w:val="24"/>
          <w:szCs w:val="24"/>
        </w:rPr>
        <w:t xml:space="preserve"> to</w:t>
      </w:r>
      <w:r w:rsidR="00D62551" w:rsidRPr="0043224D">
        <w:rPr>
          <w:rFonts w:ascii="Times New Roman" w:hAnsi="Times New Roman" w:cs="Times New Roman"/>
          <w:sz w:val="24"/>
          <w:szCs w:val="24"/>
        </w:rPr>
        <w:t xml:space="preserve"> other commercial entities in other </w:t>
      </w:r>
      <w:r w:rsidR="00007AC7" w:rsidRPr="0043224D">
        <w:rPr>
          <w:rFonts w:ascii="Times New Roman" w:hAnsi="Times New Roman" w:cs="Times New Roman"/>
          <w:sz w:val="24"/>
          <w:szCs w:val="24"/>
        </w:rPr>
        <w:t xml:space="preserve">similar large scale </w:t>
      </w:r>
      <w:r w:rsidR="00D62551" w:rsidRPr="0043224D">
        <w:rPr>
          <w:rFonts w:ascii="Times New Roman" w:hAnsi="Times New Roman" w:cs="Times New Roman"/>
          <w:sz w:val="24"/>
          <w:szCs w:val="24"/>
        </w:rPr>
        <w:t xml:space="preserve">development projects. </w:t>
      </w:r>
      <w:r w:rsidR="00725EBD" w:rsidRPr="0043224D">
        <w:rPr>
          <w:rFonts w:ascii="Times New Roman" w:hAnsi="Times New Roman" w:cs="Times New Roman"/>
          <w:sz w:val="24"/>
          <w:szCs w:val="24"/>
        </w:rPr>
        <w:t>As will argued later in this thesis</w:t>
      </w:r>
      <w:r w:rsidR="00637A82" w:rsidRPr="0043224D">
        <w:rPr>
          <w:rFonts w:ascii="Times New Roman" w:hAnsi="Times New Roman" w:cs="Times New Roman"/>
          <w:sz w:val="24"/>
          <w:szCs w:val="24"/>
        </w:rPr>
        <w:t>, and has been argued elsewhere by others,</w:t>
      </w:r>
      <w:r w:rsidR="00725EBD" w:rsidRPr="0043224D">
        <w:rPr>
          <w:rFonts w:ascii="Times New Roman" w:hAnsi="Times New Roman" w:cs="Times New Roman"/>
          <w:sz w:val="24"/>
          <w:szCs w:val="24"/>
        </w:rPr>
        <w:t xml:space="preserve"> the “national interest” </w:t>
      </w:r>
      <w:r w:rsidR="00637A82" w:rsidRPr="0043224D">
        <w:rPr>
          <w:rFonts w:ascii="Times New Roman" w:hAnsi="Times New Roman" w:cs="Times New Roman"/>
          <w:sz w:val="24"/>
          <w:szCs w:val="24"/>
        </w:rPr>
        <w:t>as a justifying rationale for economic development by the state is often advanced as a familiar explanation when it comes to the displacement of indigenous peoples off their lands</w:t>
      </w:r>
      <w:r w:rsidRPr="0043224D">
        <w:rPr>
          <w:rFonts w:ascii="Times New Roman" w:hAnsi="Times New Roman" w:cs="Times New Roman"/>
          <w:sz w:val="24"/>
          <w:szCs w:val="24"/>
        </w:rPr>
        <w:t>.</w:t>
      </w:r>
      <w:r w:rsidR="0007550E" w:rsidRPr="0043224D">
        <w:rPr>
          <w:rFonts w:ascii="Times New Roman" w:hAnsi="Times New Roman" w:cs="Times New Roman"/>
          <w:sz w:val="24"/>
          <w:szCs w:val="24"/>
        </w:rPr>
        <w:t xml:space="preserve">  </w:t>
      </w:r>
      <w:r w:rsidR="00637A82" w:rsidRPr="0043224D">
        <w:rPr>
          <w:rFonts w:ascii="Times New Roman" w:hAnsi="Times New Roman" w:cs="Times New Roman"/>
          <w:sz w:val="24"/>
          <w:szCs w:val="24"/>
        </w:rPr>
        <w:t>The drafters of the Conventi</w:t>
      </w:r>
      <w:r w:rsidR="004147A0" w:rsidRPr="0043224D">
        <w:rPr>
          <w:rFonts w:ascii="Times New Roman" w:hAnsi="Times New Roman" w:cs="Times New Roman"/>
          <w:sz w:val="24"/>
          <w:szCs w:val="24"/>
        </w:rPr>
        <w:t>on, obviously cognisant of the state’s overwhelming advantage in the development process, and in an attempt to mitigate the negative aspects of displacement, introduce immediately</w:t>
      </w:r>
      <w:r w:rsidR="00DE3729" w:rsidRPr="0043224D">
        <w:rPr>
          <w:rFonts w:ascii="Times New Roman" w:hAnsi="Times New Roman" w:cs="Times New Roman"/>
          <w:sz w:val="24"/>
          <w:szCs w:val="24"/>
        </w:rPr>
        <w:t xml:space="preserve"> following </w:t>
      </w:r>
      <w:r w:rsidR="00583251" w:rsidRPr="0043224D">
        <w:rPr>
          <w:rFonts w:ascii="Times New Roman" w:hAnsi="Times New Roman" w:cs="Times New Roman"/>
          <w:sz w:val="24"/>
          <w:szCs w:val="24"/>
        </w:rPr>
        <w:t xml:space="preserve">article </w:t>
      </w:r>
      <w:r w:rsidR="00DE3729" w:rsidRPr="0043224D">
        <w:rPr>
          <w:rFonts w:ascii="Times New Roman" w:hAnsi="Times New Roman" w:cs="Times New Roman"/>
          <w:sz w:val="24"/>
          <w:szCs w:val="24"/>
        </w:rPr>
        <w:t>16 (1)</w:t>
      </w:r>
      <w:r w:rsidR="004147A0" w:rsidRPr="0043224D">
        <w:rPr>
          <w:rFonts w:ascii="Times New Roman" w:hAnsi="Times New Roman" w:cs="Times New Roman"/>
          <w:sz w:val="24"/>
          <w:szCs w:val="24"/>
        </w:rPr>
        <w:t xml:space="preserve"> the concept of</w:t>
      </w:r>
      <w:r w:rsidR="004147A0" w:rsidRPr="0043224D">
        <w:rPr>
          <w:rFonts w:ascii="Times New Roman" w:hAnsi="Times New Roman" w:cs="Times New Roman"/>
          <w:i/>
          <w:sz w:val="24"/>
          <w:szCs w:val="24"/>
        </w:rPr>
        <w:t xml:space="preserve"> </w:t>
      </w:r>
      <w:r w:rsidR="004147A0" w:rsidRPr="0043224D">
        <w:rPr>
          <w:rFonts w:ascii="Times New Roman" w:hAnsi="Times New Roman" w:cs="Times New Roman"/>
          <w:sz w:val="24"/>
          <w:szCs w:val="24"/>
        </w:rPr>
        <w:t xml:space="preserve">“free and informed consent in </w:t>
      </w:r>
      <w:r w:rsidR="002A4935" w:rsidRPr="0043224D">
        <w:rPr>
          <w:rFonts w:ascii="Times New Roman" w:hAnsi="Times New Roman" w:cs="Times New Roman"/>
          <w:sz w:val="24"/>
          <w:szCs w:val="24"/>
        </w:rPr>
        <w:t>article</w:t>
      </w:r>
      <w:r w:rsidR="00007AC7" w:rsidRPr="0043224D">
        <w:rPr>
          <w:rFonts w:ascii="Times New Roman" w:hAnsi="Times New Roman" w:cs="Times New Roman"/>
          <w:sz w:val="24"/>
          <w:szCs w:val="24"/>
        </w:rPr>
        <w:t xml:space="preserve"> 16 (2)”</w:t>
      </w:r>
      <w:r w:rsidR="004147A0" w:rsidRPr="0043224D">
        <w:rPr>
          <w:rFonts w:ascii="Times New Roman" w:hAnsi="Times New Roman" w:cs="Times New Roman"/>
          <w:sz w:val="24"/>
          <w:szCs w:val="24"/>
        </w:rPr>
        <w:t>.</w:t>
      </w:r>
      <w:r w:rsidR="002A4935" w:rsidRPr="0043224D">
        <w:rPr>
          <w:rStyle w:val="FootnoteReference"/>
          <w:rFonts w:ascii="Times New Roman" w:hAnsi="Times New Roman" w:cs="Times New Roman"/>
          <w:sz w:val="24"/>
          <w:szCs w:val="24"/>
        </w:rPr>
        <w:footnoteReference w:id="135"/>
      </w:r>
      <w:r w:rsidR="002A4935" w:rsidRPr="0043224D">
        <w:rPr>
          <w:rFonts w:ascii="Times New Roman" w:hAnsi="Times New Roman" w:cs="Times New Roman"/>
          <w:sz w:val="24"/>
          <w:szCs w:val="24"/>
        </w:rPr>
        <w:t xml:space="preserve"> </w:t>
      </w:r>
      <w:r w:rsidR="004147A0" w:rsidRPr="0043224D">
        <w:rPr>
          <w:rFonts w:ascii="Times New Roman" w:hAnsi="Times New Roman" w:cs="Times New Roman"/>
          <w:sz w:val="24"/>
          <w:szCs w:val="24"/>
        </w:rPr>
        <w:t>The ILO’s 2003 manual to the Convention defines free and informed consent</w:t>
      </w:r>
      <w:r w:rsidR="00F26D8C" w:rsidRPr="0043224D">
        <w:rPr>
          <w:rFonts w:ascii="Times New Roman" w:hAnsi="Times New Roman" w:cs="Times New Roman"/>
          <w:sz w:val="24"/>
          <w:szCs w:val="24"/>
        </w:rPr>
        <w:t xml:space="preserve"> in article 1</w:t>
      </w:r>
      <w:r w:rsidR="00DE3729" w:rsidRPr="0043224D">
        <w:rPr>
          <w:rFonts w:ascii="Times New Roman" w:hAnsi="Times New Roman" w:cs="Times New Roman"/>
          <w:sz w:val="24"/>
          <w:szCs w:val="24"/>
        </w:rPr>
        <w:t>6</w:t>
      </w:r>
      <w:r w:rsidR="004147A0" w:rsidRPr="0043224D">
        <w:rPr>
          <w:rFonts w:ascii="Times New Roman" w:hAnsi="Times New Roman" w:cs="Times New Roman"/>
          <w:sz w:val="24"/>
          <w:szCs w:val="24"/>
        </w:rPr>
        <w:t xml:space="preserve"> </w:t>
      </w:r>
      <w:r w:rsidR="00DE3729" w:rsidRPr="0043224D">
        <w:rPr>
          <w:rFonts w:ascii="Times New Roman" w:hAnsi="Times New Roman" w:cs="Times New Roman"/>
          <w:sz w:val="24"/>
          <w:szCs w:val="24"/>
        </w:rPr>
        <w:t xml:space="preserve">as meaning, </w:t>
      </w:r>
      <w:r w:rsidR="00DE3729" w:rsidRPr="0043224D">
        <w:rPr>
          <w:rFonts w:ascii="Times New Roman" w:hAnsi="Times New Roman" w:cs="Times New Roman"/>
          <w:bCs/>
          <w:sz w:val="24"/>
          <w:szCs w:val="24"/>
        </w:rPr>
        <w:t>that</w:t>
      </w:r>
      <w:r w:rsidR="00EA7925">
        <w:rPr>
          <w:rFonts w:ascii="Times New Roman" w:hAnsi="Times New Roman" w:cs="Times New Roman"/>
          <w:bCs/>
          <w:sz w:val="24"/>
          <w:szCs w:val="24"/>
        </w:rPr>
        <w:t xml:space="preserve">, </w:t>
      </w:r>
      <w:r w:rsidR="00EA7925" w:rsidRPr="0043224D">
        <w:rPr>
          <w:rFonts w:ascii="Times New Roman" w:hAnsi="Times New Roman" w:cs="Times New Roman"/>
          <w:sz w:val="24"/>
          <w:szCs w:val="24"/>
        </w:rPr>
        <w:t>“</w:t>
      </w:r>
      <w:r w:rsidR="00DE3729" w:rsidRPr="0043224D">
        <w:rPr>
          <w:rFonts w:ascii="Times New Roman" w:hAnsi="Times New Roman" w:cs="Times New Roman"/>
          <w:bCs/>
          <w:sz w:val="24"/>
          <w:szCs w:val="24"/>
        </w:rPr>
        <w:t>indigenous and tribal peoples understand fully the meaning and consequences of the displacement and that they accept and agree to it”.</w:t>
      </w:r>
      <w:r w:rsidR="00DE3729" w:rsidRPr="0043224D">
        <w:rPr>
          <w:rStyle w:val="FootnoteReference"/>
          <w:rFonts w:ascii="Times New Roman" w:hAnsi="Times New Roman" w:cs="Times New Roman"/>
          <w:bCs/>
          <w:sz w:val="24"/>
          <w:szCs w:val="24"/>
        </w:rPr>
        <w:footnoteReference w:id="136"/>
      </w:r>
      <w:r w:rsidR="00DE3729" w:rsidRPr="0043224D">
        <w:rPr>
          <w:rFonts w:ascii="Times New Roman" w:hAnsi="Times New Roman" w:cs="Times New Roman"/>
          <w:sz w:val="24"/>
          <w:szCs w:val="24"/>
        </w:rPr>
        <w:t xml:space="preserve"> </w:t>
      </w:r>
    </w:p>
    <w:p w:rsidR="00C37A52" w:rsidRPr="0043224D" w:rsidRDefault="00AB2706" w:rsidP="00060EEC">
      <w:pPr>
        <w:pStyle w:val="NoSpacing"/>
        <w:spacing w:line="360" w:lineRule="auto"/>
        <w:ind w:firstLine="720"/>
        <w:rPr>
          <w:rFonts w:ascii="Times New Roman" w:hAnsi="Times New Roman" w:cs="Times New Roman"/>
          <w:sz w:val="24"/>
          <w:szCs w:val="24"/>
          <w:shd w:val="clear" w:color="auto" w:fill="FFFFFF"/>
        </w:rPr>
      </w:pPr>
      <w:r w:rsidRPr="0043224D">
        <w:rPr>
          <w:rFonts w:ascii="Times New Roman" w:hAnsi="Times New Roman" w:cs="Times New Roman"/>
          <w:sz w:val="24"/>
          <w:szCs w:val="24"/>
        </w:rPr>
        <w:t>Yet</w:t>
      </w:r>
      <w:r w:rsidR="00857580" w:rsidRPr="0043224D">
        <w:rPr>
          <w:rFonts w:ascii="Times New Roman" w:hAnsi="Times New Roman" w:cs="Times New Roman"/>
          <w:sz w:val="24"/>
          <w:szCs w:val="24"/>
        </w:rPr>
        <w:t xml:space="preserve"> different interpretations of F</w:t>
      </w:r>
      <w:r w:rsidRPr="0043224D">
        <w:rPr>
          <w:rFonts w:ascii="Times New Roman" w:hAnsi="Times New Roman" w:cs="Times New Roman"/>
          <w:sz w:val="24"/>
          <w:szCs w:val="24"/>
        </w:rPr>
        <w:t>ree</w:t>
      </w:r>
      <w:r w:rsidR="00857580" w:rsidRPr="0043224D">
        <w:rPr>
          <w:rFonts w:ascii="Times New Roman" w:hAnsi="Times New Roman" w:cs="Times New Roman"/>
          <w:sz w:val="24"/>
          <w:szCs w:val="24"/>
        </w:rPr>
        <w:t>, Prior and Informed C</w:t>
      </w:r>
      <w:r w:rsidRPr="0043224D">
        <w:rPr>
          <w:rFonts w:ascii="Times New Roman" w:hAnsi="Times New Roman" w:cs="Times New Roman"/>
          <w:sz w:val="24"/>
          <w:szCs w:val="24"/>
        </w:rPr>
        <w:t>onsent</w:t>
      </w:r>
      <w:r w:rsidR="00857580" w:rsidRPr="0043224D">
        <w:rPr>
          <w:rFonts w:ascii="Times New Roman" w:hAnsi="Times New Roman" w:cs="Times New Roman"/>
          <w:sz w:val="24"/>
          <w:szCs w:val="24"/>
        </w:rPr>
        <w:t xml:space="preserve"> (hereafter FPIC)</w:t>
      </w:r>
      <w:r w:rsidRPr="0043224D">
        <w:rPr>
          <w:rFonts w:ascii="Times New Roman" w:hAnsi="Times New Roman" w:cs="Times New Roman"/>
          <w:sz w:val="24"/>
          <w:szCs w:val="24"/>
        </w:rPr>
        <w:t xml:space="preserve"> have proved</w:t>
      </w:r>
      <w:r w:rsidR="00F063BA" w:rsidRPr="0043224D">
        <w:rPr>
          <w:rFonts w:ascii="Times New Roman" w:hAnsi="Times New Roman" w:cs="Times New Roman"/>
          <w:sz w:val="24"/>
          <w:szCs w:val="24"/>
        </w:rPr>
        <w:t xml:space="preserve"> highly</w:t>
      </w:r>
      <w:r w:rsidRPr="0043224D">
        <w:rPr>
          <w:rFonts w:ascii="Times New Roman" w:hAnsi="Times New Roman" w:cs="Times New Roman"/>
          <w:sz w:val="24"/>
          <w:szCs w:val="24"/>
        </w:rPr>
        <w:t xml:space="preserve"> controversial.</w:t>
      </w:r>
      <w:r w:rsidR="00857580" w:rsidRPr="0043224D">
        <w:rPr>
          <w:rStyle w:val="FootnoteReference"/>
          <w:rFonts w:ascii="Times New Roman" w:hAnsi="Times New Roman" w:cs="Times New Roman"/>
          <w:sz w:val="24"/>
          <w:szCs w:val="24"/>
        </w:rPr>
        <w:footnoteReference w:id="137"/>
      </w:r>
      <w:r w:rsidRPr="0043224D">
        <w:rPr>
          <w:rFonts w:ascii="Times New Roman" w:hAnsi="Times New Roman" w:cs="Times New Roman"/>
          <w:sz w:val="24"/>
          <w:szCs w:val="24"/>
        </w:rPr>
        <w:t xml:space="preserve"> In a recent case involving aboriginal title in Canada, </w:t>
      </w:r>
      <w:r w:rsidR="00857580" w:rsidRPr="0043224D">
        <w:rPr>
          <w:rFonts w:ascii="Times New Roman" w:hAnsi="Times New Roman" w:cs="Times New Roman"/>
          <w:sz w:val="24"/>
          <w:szCs w:val="24"/>
        </w:rPr>
        <w:t xml:space="preserve">in </w:t>
      </w:r>
      <w:r w:rsidR="00857580" w:rsidRPr="0043224D">
        <w:rPr>
          <w:rFonts w:ascii="Times New Roman" w:hAnsi="Times New Roman" w:cs="Times New Roman"/>
          <w:i/>
          <w:sz w:val="24"/>
          <w:szCs w:val="24"/>
        </w:rPr>
        <w:t>Tsilhqot’in</w:t>
      </w:r>
      <w:r w:rsidRPr="0043224D">
        <w:rPr>
          <w:rFonts w:ascii="Times New Roman" w:hAnsi="Times New Roman" w:cs="Times New Roman"/>
          <w:bCs/>
          <w:i/>
          <w:iCs/>
          <w:color w:val="252525"/>
          <w:sz w:val="24"/>
          <w:szCs w:val="24"/>
          <w:shd w:val="clear" w:color="auto" w:fill="FFFFFF"/>
        </w:rPr>
        <w:t xml:space="preserve"> Nation v. British Columbia,</w:t>
      </w:r>
      <w:r w:rsidRPr="0043224D">
        <w:rPr>
          <w:rStyle w:val="FootnoteReference"/>
          <w:rFonts w:ascii="Times New Roman" w:hAnsi="Times New Roman" w:cs="Times New Roman"/>
          <w:bCs/>
          <w:iCs/>
          <w:color w:val="252525"/>
          <w:sz w:val="24"/>
          <w:szCs w:val="24"/>
          <w:shd w:val="clear" w:color="auto" w:fill="FFFFFF"/>
        </w:rPr>
        <w:footnoteReference w:id="138"/>
      </w:r>
      <w:r w:rsidRPr="0043224D">
        <w:rPr>
          <w:rFonts w:ascii="Times New Roman" w:hAnsi="Times New Roman" w:cs="Times New Roman"/>
          <w:sz w:val="24"/>
          <w:szCs w:val="24"/>
        </w:rPr>
        <w:t xml:space="preserve">  the </w:t>
      </w:r>
      <w:r w:rsidR="00857580" w:rsidRPr="0043224D">
        <w:rPr>
          <w:rFonts w:ascii="Times New Roman" w:hAnsi="Times New Roman" w:cs="Times New Roman"/>
          <w:sz w:val="24"/>
          <w:szCs w:val="24"/>
        </w:rPr>
        <w:t xml:space="preserve">Canadian </w:t>
      </w:r>
      <w:r w:rsidRPr="0043224D">
        <w:rPr>
          <w:rFonts w:ascii="Times New Roman" w:hAnsi="Times New Roman" w:cs="Times New Roman"/>
          <w:sz w:val="24"/>
          <w:szCs w:val="24"/>
        </w:rPr>
        <w:t xml:space="preserve">Supreme Court </w:t>
      </w:r>
      <w:r w:rsidR="00857580" w:rsidRPr="0043224D">
        <w:rPr>
          <w:rFonts w:ascii="Times New Roman" w:hAnsi="Times New Roman" w:cs="Times New Roman"/>
          <w:sz w:val="24"/>
          <w:szCs w:val="24"/>
        </w:rPr>
        <w:t>confirmed that the aboriginal peoples of the region had title to their historical lands</w:t>
      </w:r>
      <w:r w:rsidR="000A0FF8" w:rsidRPr="0043224D">
        <w:rPr>
          <w:rFonts w:ascii="Times New Roman" w:hAnsi="Times New Roman" w:cs="Times New Roman"/>
          <w:sz w:val="24"/>
          <w:szCs w:val="24"/>
        </w:rPr>
        <w:t xml:space="preserve"> and that the local authorities had, “</w:t>
      </w:r>
      <w:r w:rsidR="000A0FF8" w:rsidRPr="0043224D">
        <w:rPr>
          <w:rFonts w:ascii="Times New Roman" w:hAnsi="Times New Roman" w:cs="Times New Roman"/>
          <w:color w:val="000000"/>
          <w:sz w:val="24"/>
          <w:szCs w:val="24"/>
          <w:shd w:val="clear" w:color="auto" w:fill="FFFFFF"/>
        </w:rPr>
        <w:t>breached its duty to consult</w:t>
      </w:r>
      <w:r w:rsidR="00311153" w:rsidRPr="0043224D">
        <w:rPr>
          <w:rFonts w:ascii="Times New Roman" w:hAnsi="Times New Roman" w:cs="Times New Roman"/>
          <w:color w:val="000000"/>
          <w:sz w:val="24"/>
          <w:szCs w:val="24"/>
          <w:shd w:val="clear" w:color="auto" w:fill="FFFFFF"/>
        </w:rPr>
        <w:t>[ion]</w:t>
      </w:r>
      <w:r w:rsidR="000A0FF8" w:rsidRPr="0043224D">
        <w:rPr>
          <w:rFonts w:ascii="Times New Roman" w:hAnsi="Times New Roman" w:cs="Times New Roman"/>
          <w:color w:val="000000"/>
          <w:sz w:val="24"/>
          <w:szCs w:val="24"/>
          <w:shd w:val="clear" w:color="auto" w:fill="FFFFFF"/>
        </w:rPr>
        <w:t xml:space="preserve"> owed to the Tsilhqot’in through its land use planning and forestry authorizations”</w:t>
      </w:r>
      <w:r w:rsidR="00857580" w:rsidRPr="0043224D">
        <w:rPr>
          <w:rFonts w:ascii="Times New Roman" w:hAnsi="Times New Roman" w:cs="Times New Roman"/>
          <w:sz w:val="24"/>
          <w:szCs w:val="24"/>
        </w:rPr>
        <w:t>.</w:t>
      </w:r>
      <w:r w:rsidR="00324866" w:rsidRPr="0043224D">
        <w:rPr>
          <w:rStyle w:val="FootnoteReference"/>
          <w:rFonts w:ascii="Times New Roman" w:hAnsi="Times New Roman" w:cs="Times New Roman"/>
          <w:sz w:val="24"/>
          <w:szCs w:val="24"/>
        </w:rPr>
        <w:footnoteReference w:id="139"/>
      </w:r>
      <w:r w:rsidR="00324866" w:rsidRPr="0043224D">
        <w:rPr>
          <w:rFonts w:ascii="Times New Roman" w:hAnsi="Times New Roman" w:cs="Times New Roman"/>
          <w:sz w:val="24"/>
          <w:szCs w:val="24"/>
        </w:rPr>
        <w:t xml:space="preserve"> </w:t>
      </w:r>
      <w:r w:rsidR="00857580" w:rsidRPr="0043224D">
        <w:rPr>
          <w:rFonts w:ascii="Times New Roman" w:hAnsi="Times New Roman" w:cs="Times New Roman"/>
          <w:sz w:val="24"/>
          <w:szCs w:val="24"/>
        </w:rPr>
        <w:t xml:space="preserve">The favourable ruling by the court is however offset by a recent statement </w:t>
      </w:r>
      <w:r w:rsidR="00324866" w:rsidRPr="0043224D">
        <w:rPr>
          <w:rFonts w:ascii="Times New Roman" w:hAnsi="Times New Roman" w:cs="Times New Roman"/>
          <w:sz w:val="24"/>
          <w:szCs w:val="24"/>
        </w:rPr>
        <w:t>by the</w:t>
      </w:r>
      <w:r w:rsidR="00857580" w:rsidRPr="0043224D">
        <w:rPr>
          <w:rFonts w:ascii="Times New Roman" w:hAnsi="Times New Roman" w:cs="Times New Roman"/>
          <w:sz w:val="24"/>
          <w:szCs w:val="24"/>
        </w:rPr>
        <w:t xml:space="preserve"> Canadian </w:t>
      </w:r>
      <w:r w:rsidR="00324866" w:rsidRPr="0043224D">
        <w:rPr>
          <w:rFonts w:ascii="Times New Roman" w:hAnsi="Times New Roman" w:cs="Times New Roman"/>
          <w:sz w:val="24"/>
          <w:szCs w:val="24"/>
        </w:rPr>
        <w:t>government. In the statement, responding to a recent outcome document put forward by the World Conference on Indigenous Peoples hosted by the UN,</w:t>
      </w:r>
      <w:r w:rsidR="00324866" w:rsidRPr="0043224D">
        <w:rPr>
          <w:rStyle w:val="FootnoteReference"/>
          <w:rFonts w:ascii="Times New Roman" w:hAnsi="Times New Roman" w:cs="Times New Roman"/>
          <w:sz w:val="24"/>
          <w:szCs w:val="24"/>
        </w:rPr>
        <w:footnoteReference w:id="140"/>
      </w:r>
      <w:r w:rsidR="00324866" w:rsidRPr="0043224D">
        <w:rPr>
          <w:rFonts w:ascii="Times New Roman" w:hAnsi="Times New Roman" w:cs="Times New Roman"/>
          <w:sz w:val="24"/>
          <w:szCs w:val="24"/>
        </w:rPr>
        <w:t xml:space="preserve"> </w:t>
      </w:r>
      <w:r w:rsidR="000A0FF8" w:rsidRPr="0043224D">
        <w:rPr>
          <w:rFonts w:ascii="Times New Roman" w:hAnsi="Times New Roman" w:cs="Times New Roman"/>
          <w:sz w:val="24"/>
          <w:szCs w:val="24"/>
        </w:rPr>
        <w:t>the Canadian government rejected paragraph</w:t>
      </w:r>
      <w:r w:rsidR="00274442" w:rsidRPr="0043224D">
        <w:rPr>
          <w:rFonts w:ascii="Times New Roman" w:hAnsi="Times New Roman" w:cs="Times New Roman"/>
          <w:sz w:val="24"/>
          <w:szCs w:val="24"/>
        </w:rPr>
        <w:t>s</w:t>
      </w:r>
      <w:r w:rsidR="000A0FF8" w:rsidRPr="0043224D">
        <w:rPr>
          <w:rFonts w:ascii="Times New Roman" w:hAnsi="Times New Roman" w:cs="Times New Roman"/>
          <w:sz w:val="24"/>
          <w:szCs w:val="24"/>
        </w:rPr>
        <w:t xml:space="preserve"> 3 </w:t>
      </w:r>
      <w:r w:rsidR="00274442" w:rsidRPr="0043224D">
        <w:rPr>
          <w:rFonts w:ascii="Times New Roman" w:hAnsi="Times New Roman" w:cs="Times New Roman"/>
          <w:sz w:val="24"/>
          <w:szCs w:val="24"/>
        </w:rPr>
        <w:t xml:space="preserve">and 4 </w:t>
      </w:r>
      <w:r w:rsidR="000A0FF8" w:rsidRPr="0043224D">
        <w:rPr>
          <w:rFonts w:ascii="Times New Roman" w:hAnsi="Times New Roman" w:cs="Times New Roman"/>
          <w:sz w:val="24"/>
          <w:szCs w:val="24"/>
        </w:rPr>
        <w:t>(theme 1) of the UN document.</w:t>
      </w:r>
      <w:r w:rsidR="000A0FF8" w:rsidRPr="0043224D">
        <w:rPr>
          <w:rStyle w:val="FootnoteReference"/>
          <w:rFonts w:ascii="Times New Roman" w:hAnsi="Times New Roman" w:cs="Times New Roman"/>
          <w:sz w:val="24"/>
          <w:szCs w:val="24"/>
        </w:rPr>
        <w:footnoteReference w:id="141"/>
      </w:r>
      <w:r w:rsidR="00274442" w:rsidRPr="0043224D">
        <w:rPr>
          <w:rFonts w:ascii="Times New Roman" w:hAnsi="Times New Roman" w:cs="Times New Roman"/>
          <w:sz w:val="24"/>
          <w:szCs w:val="24"/>
        </w:rPr>
        <w:t xml:space="preserve"> The government argued that, “</w:t>
      </w:r>
      <w:r w:rsidR="00274442" w:rsidRPr="0043224D">
        <w:rPr>
          <w:rFonts w:ascii="Times New Roman" w:hAnsi="Times New Roman" w:cs="Times New Roman"/>
          <w:sz w:val="24"/>
          <w:szCs w:val="24"/>
          <w:shd w:val="clear" w:color="auto" w:fill="FFFFFF"/>
        </w:rPr>
        <w:t xml:space="preserve">Free, prior and informed consent, as it is considered in paragraph 3 of </w:t>
      </w:r>
      <w:r w:rsidR="00274442" w:rsidRPr="00CF22EB">
        <w:rPr>
          <w:rFonts w:ascii="Times New Roman" w:hAnsi="Times New Roman" w:cs="Times New Roman"/>
          <w:sz w:val="24"/>
          <w:szCs w:val="24"/>
          <w:shd w:val="clear" w:color="auto" w:fill="FFFFFF"/>
        </w:rPr>
        <w:t>the WCIP</w:t>
      </w:r>
      <w:r w:rsidR="00274442" w:rsidRPr="0043224D">
        <w:rPr>
          <w:rFonts w:ascii="Times New Roman" w:hAnsi="Times New Roman" w:cs="Times New Roman"/>
          <w:sz w:val="24"/>
          <w:szCs w:val="24"/>
          <w:shd w:val="clear" w:color="auto" w:fill="FFFFFF"/>
        </w:rPr>
        <w:t xml:space="preserve"> Outcome Document, could be interpreted as providing a veto to Aboriginal groups and in that regard, cannot be reconciled with Canadian law, as it exists.”</w:t>
      </w:r>
      <w:r w:rsidR="00274442" w:rsidRPr="0043224D">
        <w:rPr>
          <w:rStyle w:val="FootnoteReference"/>
          <w:rFonts w:ascii="Times New Roman" w:hAnsi="Times New Roman" w:cs="Times New Roman"/>
          <w:sz w:val="24"/>
          <w:szCs w:val="24"/>
          <w:shd w:val="clear" w:color="auto" w:fill="FFFFFF"/>
        </w:rPr>
        <w:footnoteReference w:id="142"/>
      </w:r>
      <w:r w:rsidR="00274442" w:rsidRPr="0043224D">
        <w:rPr>
          <w:rFonts w:ascii="Times New Roman" w:hAnsi="Times New Roman" w:cs="Times New Roman"/>
          <w:sz w:val="24"/>
          <w:szCs w:val="24"/>
          <w:shd w:val="clear" w:color="auto" w:fill="FFFFFF"/>
        </w:rPr>
        <w:t xml:space="preserve"> </w:t>
      </w:r>
      <w:r w:rsidR="00C37A52" w:rsidRPr="0043224D">
        <w:rPr>
          <w:rFonts w:ascii="Times New Roman" w:hAnsi="Times New Roman" w:cs="Times New Roman"/>
          <w:sz w:val="24"/>
          <w:szCs w:val="24"/>
          <w:shd w:val="clear" w:color="auto" w:fill="FFFFFF"/>
        </w:rPr>
        <w:t xml:space="preserve"> The government also argued in relation to the Supreme Court ruling that, “Canada cannot support paragraph 4 in particular, given that Canadian law, recently reaffirmed in a Supreme Court of Canada decision, states the Crown may justify the infringement of an Aboriginal or Treaty right if it meets a stringent test to reconcile Aboriginal rights with a </w:t>
      </w:r>
      <w:r w:rsidR="00C37A52" w:rsidRPr="0043224D">
        <w:rPr>
          <w:rFonts w:ascii="Times New Roman" w:hAnsi="Times New Roman" w:cs="Times New Roman"/>
          <w:i/>
          <w:sz w:val="24"/>
          <w:szCs w:val="24"/>
          <w:shd w:val="clear" w:color="auto" w:fill="FFFFFF"/>
        </w:rPr>
        <w:t>broader public interest</w:t>
      </w:r>
      <w:r w:rsidR="00C37A52" w:rsidRPr="0043224D">
        <w:rPr>
          <w:rFonts w:ascii="Times New Roman" w:hAnsi="Times New Roman" w:cs="Times New Roman"/>
          <w:sz w:val="24"/>
          <w:szCs w:val="24"/>
          <w:shd w:val="clear" w:color="auto" w:fill="FFFFFF"/>
        </w:rPr>
        <w:t>.”</w:t>
      </w:r>
      <w:r w:rsidR="00C37A52" w:rsidRPr="0043224D">
        <w:rPr>
          <w:rStyle w:val="FootnoteReference"/>
          <w:rFonts w:ascii="Times New Roman" w:hAnsi="Times New Roman" w:cs="Times New Roman"/>
          <w:color w:val="444444"/>
          <w:sz w:val="24"/>
          <w:szCs w:val="24"/>
          <w:shd w:val="clear" w:color="auto" w:fill="FFFFFF"/>
        </w:rPr>
        <w:footnoteReference w:id="143"/>
      </w:r>
    </w:p>
    <w:p w:rsidR="00311153" w:rsidRPr="0043224D" w:rsidRDefault="00274442" w:rsidP="0043224D">
      <w:pPr>
        <w:spacing w:line="360" w:lineRule="auto"/>
        <w:rPr>
          <w:rFonts w:ascii="Times New Roman" w:hAnsi="Times New Roman" w:cs="Times New Roman"/>
          <w:sz w:val="24"/>
          <w:szCs w:val="24"/>
          <w:shd w:val="clear" w:color="auto" w:fill="FFFFFF"/>
        </w:rPr>
      </w:pPr>
      <w:r w:rsidRPr="0043224D">
        <w:rPr>
          <w:rFonts w:ascii="Times New Roman" w:hAnsi="Times New Roman" w:cs="Times New Roman"/>
          <w:sz w:val="24"/>
          <w:szCs w:val="24"/>
          <w:shd w:val="clear" w:color="auto" w:fill="FFFFFF"/>
        </w:rPr>
        <w:t>The interpretation of FPIC as a “veto</w:t>
      </w:r>
      <w:r w:rsidR="00C37A52" w:rsidRPr="0043224D">
        <w:rPr>
          <w:rFonts w:ascii="Times New Roman" w:hAnsi="Times New Roman" w:cs="Times New Roman"/>
          <w:sz w:val="24"/>
          <w:szCs w:val="24"/>
          <w:shd w:val="clear" w:color="auto" w:fill="FFFFFF"/>
        </w:rPr>
        <w:t>” by the government, and by inference a potential hindrance to the “broader public i</w:t>
      </w:r>
      <w:r w:rsidR="00C411BA" w:rsidRPr="0043224D">
        <w:rPr>
          <w:rFonts w:ascii="Times New Roman" w:hAnsi="Times New Roman" w:cs="Times New Roman"/>
          <w:sz w:val="24"/>
          <w:szCs w:val="24"/>
          <w:shd w:val="clear" w:color="auto" w:fill="FFFFFF"/>
        </w:rPr>
        <w:t xml:space="preserve">nterest”, is both highly instructive and revealing of the </w:t>
      </w:r>
      <w:r w:rsidR="00311153" w:rsidRPr="0043224D">
        <w:rPr>
          <w:rFonts w:ascii="Times New Roman" w:hAnsi="Times New Roman" w:cs="Times New Roman"/>
          <w:sz w:val="24"/>
          <w:szCs w:val="24"/>
          <w:shd w:val="clear" w:color="auto" w:fill="FFFFFF"/>
        </w:rPr>
        <w:t>Canada’</w:t>
      </w:r>
      <w:r w:rsidR="00C411BA" w:rsidRPr="0043224D">
        <w:rPr>
          <w:rFonts w:ascii="Times New Roman" w:hAnsi="Times New Roman" w:cs="Times New Roman"/>
          <w:sz w:val="24"/>
          <w:szCs w:val="24"/>
          <w:shd w:val="clear" w:color="auto" w:fill="FFFFFF"/>
        </w:rPr>
        <w:t xml:space="preserve">s position. </w:t>
      </w:r>
      <w:r w:rsidR="00C37A52" w:rsidRPr="0043224D">
        <w:rPr>
          <w:rFonts w:ascii="Times New Roman" w:hAnsi="Times New Roman" w:cs="Times New Roman"/>
          <w:sz w:val="24"/>
          <w:szCs w:val="24"/>
          <w:shd w:val="clear" w:color="auto" w:fill="FFFFFF"/>
        </w:rPr>
        <w:t xml:space="preserve"> </w:t>
      </w:r>
      <w:r w:rsidR="00311153" w:rsidRPr="0043224D">
        <w:rPr>
          <w:rFonts w:ascii="Times New Roman" w:hAnsi="Times New Roman" w:cs="Times New Roman"/>
          <w:sz w:val="24"/>
          <w:szCs w:val="24"/>
          <w:shd w:val="clear" w:color="auto" w:fill="FFFFFF"/>
        </w:rPr>
        <w:t>According to Canada, t</w:t>
      </w:r>
      <w:r w:rsidR="0007550E" w:rsidRPr="0043224D">
        <w:rPr>
          <w:rFonts w:ascii="Times New Roman" w:hAnsi="Times New Roman" w:cs="Times New Roman"/>
          <w:sz w:val="24"/>
          <w:szCs w:val="24"/>
          <w:shd w:val="clear" w:color="auto" w:fill="FFFFFF"/>
        </w:rPr>
        <w:t xml:space="preserve">he broader public interest means, in essence, the right to develop as the state sees </w:t>
      </w:r>
      <w:r w:rsidR="00311153" w:rsidRPr="0043224D">
        <w:rPr>
          <w:rFonts w:ascii="Times New Roman" w:hAnsi="Times New Roman" w:cs="Times New Roman"/>
          <w:sz w:val="24"/>
          <w:szCs w:val="24"/>
          <w:shd w:val="clear" w:color="auto" w:fill="FFFFFF"/>
        </w:rPr>
        <w:t>appropriate,</w:t>
      </w:r>
      <w:r w:rsidR="0007550E" w:rsidRPr="0043224D">
        <w:rPr>
          <w:rFonts w:ascii="Times New Roman" w:hAnsi="Times New Roman" w:cs="Times New Roman"/>
          <w:sz w:val="24"/>
          <w:szCs w:val="24"/>
          <w:shd w:val="clear" w:color="auto" w:fill="FFFFFF"/>
        </w:rPr>
        <w:t xml:space="preserve"> </w:t>
      </w:r>
      <w:r w:rsidR="00311153" w:rsidRPr="0043224D">
        <w:rPr>
          <w:rFonts w:ascii="Times New Roman" w:hAnsi="Times New Roman" w:cs="Times New Roman"/>
          <w:sz w:val="24"/>
          <w:szCs w:val="24"/>
          <w:shd w:val="clear" w:color="auto" w:fill="FFFFFF"/>
        </w:rPr>
        <w:t>using the concept of the “broader public interest” as a</w:t>
      </w:r>
      <w:r w:rsidR="0007550E" w:rsidRPr="0043224D">
        <w:rPr>
          <w:rFonts w:ascii="Times New Roman" w:hAnsi="Times New Roman" w:cs="Times New Roman"/>
          <w:sz w:val="24"/>
          <w:szCs w:val="24"/>
          <w:shd w:val="clear" w:color="auto" w:fill="FFFFFF"/>
        </w:rPr>
        <w:t xml:space="preserve"> justifying rationale for </w:t>
      </w:r>
      <w:r w:rsidR="00311153" w:rsidRPr="0043224D">
        <w:rPr>
          <w:rFonts w:ascii="Times New Roman" w:hAnsi="Times New Roman" w:cs="Times New Roman"/>
          <w:sz w:val="24"/>
          <w:szCs w:val="24"/>
          <w:shd w:val="clear" w:color="auto" w:fill="FFFFFF"/>
        </w:rPr>
        <w:t xml:space="preserve">resource </w:t>
      </w:r>
      <w:r w:rsidR="0007550E" w:rsidRPr="0043224D">
        <w:rPr>
          <w:rFonts w:ascii="Times New Roman" w:hAnsi="Times New Roman" w:cs="Times New Roman"/>
          <w:sz w:val="24"/>
          <w:szCs w:val="24"/>
          <w:shd w:val="clear" w:color="auto" w:fill="FFFFFF"/>
        </w:rPr>
        <w:t xml:space="preserve">development. </w:t>
      </w:r>
    </w:p>
    <w:p w:rsidR="0007384C" w:rsidRPr="0043224D" w:rsidRDefault="00484702"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Further</w:t>
      </w:r>
      <w:r w:rsidR="00B972A5" w:rsidRPr="0043224D">
        <w:rPr>
          <w:rFonts w:ascii="Times New Roman" w:hAnsi="Times New Roman" w:cs="Times New Roman"/>
          <w:sz w:val="24"/>
          <w:szCs w:val="24"/>
        </w:rPr>
        <w:t>, as Anaya note</w:t>
      </w:r>
      <w:r w:rsidR="00574C85" w:rsidRPr="0043224D">
        <w:rPr>
          <w:rFonts w:ascii="Times New Roman" w:hAnsi="Times New Roman" w:cs="Times New Roman"/>
          <w:sz w:val="24"/>
          <w:szCs w:val="24"/>
        </w:rPr>
        <w:t>s</w:t>
      </w:r>
      <w:r w:rsidR="00F26D8C" w:rsidRPr="0043224D">
        <w:rPr>
          <w:rFonts w:ascii="Times New Roman" w:hAnsi="Times New Roman" w:cs="Times New Roman"/>
          <w:sz w:val="24"/>
          <w:szCs w:val="24"/>
        </w:rPr>
        <w:t xml:space="preserve">, however progressive </w:t>
      </w:r>
      <w:r w:rsidR="00311153" w:rsidRPr="0043224D">
        <w:rPr>
          <w:rFonts w:ascii="Times New Roman" w:hAnsi="Times New Roman" w:cs="Times New Roman"/>
          <w:sz w:val="24"/>
          <w:szCs w:val="24"/>
        </w:rPr>
        <w:t>ILO 169</w:t>
      </w:r>
      <w:r w:rsidR="00B972A5" w:rsidRPr="0043224D">
        <w:rPr>
          <w:rFonts w:ascii="Times New Roman" w:hAnsi="Times New Roman" w:cs="Times New Roman"/>
          <w:sz w:val="24"/>
          <w:szCs w:val="24"/>
        </w:rPr>
        <w:t xml:space="preserve"> </w:t>
      </w:r>
      <w:r w:rsidR="00275530" w:rsidRPr="0043224D">
        <w:rPr>
          <w:rFonts w:ascii="Times New Roman" w:hAnsi="Times New Roman" w:cs="Times New Roman"/>
          <w:sz w:val="24"/>
          <w:szCs w:val="24"/>
        </w:rPr>
        <w:t>is</w:t>
      </w:r>
      <w:r w:rsidR="00FE3E72" w:rsidRPr="0043224D">
        <w:rPr>
          <w:rFonts w:ascii="Times New Roman" w:hAnsi="Times New Roman" w:cs="Times New Roman"/>
          <w:sz w:val="24"/>
          <w:szCs w:val="24"/>
        </w:rPr>
        <w:t>,</w:t>
      </w:r>
      <w:r w:rsidR="00B972A5" w:rsidRPr="0043224D">
        <w:rPr>
          <w:rFonts w:ascii="Times New Roman" w:hAnsi="Times New Roman" w:cs="Times New Roman"/>
          <w:sz w:val="24"/>
          <w:szCs w:val="24"/>
        </w:rPr>
        <w:t xml:space="preserve"> </w:t>
      </w:r>
      <w:r w:rsidRPr="0043224D">
        <w:rPr>
          <w:rFonts w:ascii="Times New Roman" w:hAnsi="Times New Roman" w:cs="Times New Roman"/>
          <w:sz w:val="24"/>
          <w:szCs w:val="24"/>
        </w:rPr>
        <w:t>at least in</w:t>
      </w:r>
      <w:r w:rsidR="00B972A5" w:rsidRPr="0043224D">
        <w:rPr>
          <w:rFonts w:ascii="Times New Roman" w:hAnsi="Times New Roman" w:cs="Times New Roman"/>
          <w:sz w:val="24"/>
          <w:szCs w:val="24"/>
        </w:rPr>
        <w:t xml:space="preserve"> part</w:t>
      </w:r>
      <w:r w:rsidR="00574C85" w:rsidRPr="0043224D">
        <w:rPr>
          <w:rFonts w:ascii="Times New Roman" w:hAnsi="Times New Roman" w:cs="Times New Roman"/>
          <w:sz w:val="24"/>
          <w:szCs w:val="24"/>
        </w:rPr>
        <w:t>,</w:t>
      </w:r>
      <w:r w:rsidR="00B972A5" w:rsidRPr="0043224D">
        <w:rPr>
          <w:rFonts w:ascii="Times New Roman" w:hAnsi="Times New Roman" w:cs="Times New Roman"/>
          <w:sz w:val="24"/>
          <w:szCs w:val="24"/>
        </w:rPr>
        <w:t xml:space="preserve"> it nevertheless reinforced the, </w:t>
      </w:r>
      <w:r w:rsidR="00A047F6" w:rsidRPr="0043224D">
        <w:rPr>
          <w:rFonts w:ascii="Times New Roman" w:hAnsi="Times New Roman" w:cs="Times New Roman"/>
          <w:sz w:val="24"/>
          <w:szCs w:val="24"/>
        </w:rPr>
        <w:t>“the underlying assumption of state authority over indigenous peoples”</w:t>
      </w:r>
      <w:r w:rsidR="00FE3E72" w:rsidRPr="0043224D">
        <w:rPr>
          <w:rFonts w:ascii="Times New Roman" w:hAnsi="Times New Roman" w:cs="Times New Roman"/>
          <w:sz w:val="24"/>
          <w:szCs w:val="24"/>
        </w:rPr>
        <w:t>.</w:t>
      </w:r>
      <w:r w:rsidR="00637A82" w:rsidRPr="0043224D">
        <w:rPr>
          <w:rStyle w:val="FootnoteReference"/>
          <w:rFonts w:ascii="Times New Roman" w:hAnsi="Times New Roman" w:cs="Times New Roman"/>
          <w:sz w:val="24"/>
          <w:szCs w:val="24"/>
        </w:rPr>
        <w:footnoteReference w:id="144"/>
      </w:r>
      <w:r w:rsidR="00E86053" w:rsidRPr="0043224D">
        <w:rPr>
          <w:rFonts w:ascii="Times New Roman" w:hAnsi="Times New Roman" w:cs="Times New Roman"/>
          <w:sz w:val="24"/>
          <w:szCs w:val="24"/>
        </w:rPr>
        <w:t xml:space="preserve"> </w:t>
      </w:r>
      <w:r w:rsidR="00FE3E72" w:rsidRPr="0043224D">
        <w:rPr>
          <w:rFonts w:ascii="Times New Roman" w:hAnsi="Times New Roman" w:cs="Times New Roman"/>
          <w:sz w:val="24"/>
          <w:szCs w:val="24"/>
        </w:rPr>
        <w:t>Consequently</w:t>
      </w:r>
      <w:r w:rsidR="00B972A5" w:rsidRPr="0043224D">
        <w:rPr>
          <w:rFonts w:ascii="Times New Roman" w:hAnsi="Times New Roman" w:cs="Times New Roman"/>
          <w:sz w:val="24"/>
          <w:szCs w:val="24"/>
        </w:rPr>
        <w:t>,</w:t>
      </w:r>
      <w:r w:rsidR="00A047F6" w:rsidRPr="0043224D">
        <w:rPr>
          <w:rFonts w:ascii="Times New Roman" w:hAnsi="Times New Roman" w:cs="Times New Roman"/>
          <w:sz w:val="24"/>
          <w:szCs w:val="24"/>
        </w:rPr>
        <w:t xml:space="preserve"> </w:t>
      </w:r>
      <w:r w:rsidR="00637A82" w:rsidRPr="0043224D">
        <w:rPr>
          <w:rFonts w:ascii="Times New Roman" w:hAnsi="Times New Roman" w:cs="Times New Roman"/>
          <w:sz w:val="24"/>
          <w:szCs w:val="24"/>
        </w:rPr>
        <w:t xml:space="preserve">as argued above, </w:t>
      </w:r>
      <w:r w:rsidR="00A047F6" w:rsidRPr="0043224D">
        <w:rPr>
          <w:rFonts w:ascii="Times New Roman" w:hAnsi="Times New Roman" w:cs="Times New Roman"/>
          <w:sz w:val="24"/>
          <w:szCs w:val="24"/>
        </w:rPr>
        <w:t xml:space="preserve">it </w:t>
      </w:r>
      <w:r w:rsidR="007562E9" w:rsidRPr="0043224D">
        <w:rPr>
          <w:rFonts w:ascii="Times New Roman" w:hAnsi="Times New Roman" w:cs="Times New Roman"/>
          <w:sz w:val="24"/>
          <w:szCs w:val="24"/>
        </w:rPr>
        <w:t>is</w:t>
      </w:r>
      <w:r w:rsidR="00A047F6" w:rsidRPr="0043224D">
        <w:rPr>
          <w:rFonts w:ascii="Times New Roman" w:hAnsi="Times New Roman" w:cs="Times New Roman"/>
          <w:sz w:val="24"/>
          <w:szCs w:val="24"/>
        </w:rPr>
        <w:t xml:space="preserve"> perceived as</w:t>
      </w:r>
      <w:r w:rsidR="007562E9" w:rsidRPr="0043224D">
        <w:rPr>
          <w:rFonts w:ascii="Times New Roman" w:hAnsi="Times New Roman" w:cs="Times New Roman"/>
          <w:sz w:val="24"/>
          <w:szCs w:val="24"/>
        </w:rPr>
        <w:t xml:space="preserve"> being</w:t>
      </w:r>
      <w:r w:rsidR="00E86053" w:rsidRPr="0043224D">
        <w:rPr>
          <w:rFonts w:ascii="Times New Roman" w:hAnsi="Times New Roman" w:cs="Times New Roman"/>
          <w:sz w:val="24"/>
          <w:szCs w:val="24"/>
        </w:rPr>
        <w:t xml:space="preserve"> written from the perspective of the state and not from the perspective of indigenous peoples.  </w:t>
      </w:r>
      <w:r w:rsidR="00FE3E72" w:rsidRPr="0043224D">
        <w:rPr>
          <w:rFonts w:ascii="Times New Roman" w:hAnsi="Times New Roman" w:cs="Times New Roman"/>
          <w:sz w:val="24"/>
          <w:szCs w:val="24"/>
        </w:rPr>
        <w:t>These reservations</w:t>
      </w:r>
      <w:r w:rsidR="00A047F6" w:rsidRPr="0043224D">
        <w:rPr>
          <w:rFonts w:ascii="Times New Roman" w:hAnsi="Times New Roman" w:cs="Times New Roman"/>
          <w:sz w:val="24"/>
          <w:szCs w:val="24"/>
        </w:rPr>
        <w:t xml:space="preserve"> aside,</w:t>
      </w:r>
      <w:r w:rsidR="00574C85" w:rsidRPr="0043224D">
        <w:rPr>
          <w:rFonts w:ascii="Times New Roman" w:hAnsi="Times New Roman" w:cs="Times New Roman"/>
          <w:sz w:val="24"/>
          <w:szCs w:val="24"/>
        </w:rPr>
        <w:t xml:space="preserve"> the Convention</w:t>
      </w:r>
      <w:r w:rsidR="001F1956" w:rsidRPr="0043224D">
        <w:rPr>
          <w:rFonts w:ascii="Times New Roman" w:hAnsi="Times New Roman" w:cs="Times New Roman"/>
          <w:sz w:val="24"/>
          <w:szCs w:val="24"/>
        </w:rPr>
        <w:t xml:space="preserve"> is</w:t>
      </w:r>
      <w:r w:rsidR="00574C85" w:rsidRPr="0043224D">
        <w:rPr>
          <w:rFonts w:ascii="Times New Roman" w:hAnsi="Times New Roman" w:cs="Times New Roman"/>
          <w:sz w:val="24"/>
          <w:szCs w:val="24"/>
        </w:rPr>
        <w:t xml:space="preserve"> </w:t>
      </w:r>
      <w:r w:rsidR="001558B5" w:rsidRPr="0043224D">
        <w:rPr>
          <w:rFonts w:ascii="Times New Roman" w:hAnsi="Times New Roman" w:cs="Times New Roman"/>
          <w:sz w:val="24"/>
          <w:szCs w:val="24"/>
        </w:rPr>
        <w:t>widely held</w:t>
      </w:r>
      <w:r w:rsidR="00FE3E72" w:rsidRPr="0043224D">
        <w:rPr>
          <w:rFonts w:ascii="Times New Roman" w:hAnsi="Times New Roman" w:cs="Times New Roman"/>
          <w:sz w:val="24"/>
          <w:szCs w:val="24"/>
        </w:rPr>
        <w:t xml:space="preserve"> to be seen as setting important and timely standards towards the advancement of indigenous rights. Seen in this light, it is</w:t>
      </w:r>
      <w:r w:rsidR="001558B5" w:rsidRPr="0043224D">
        <w:rPr>
          <w:rFonts w:ascii="Times New Roman" w:hAnsi="Times New Roman" w:cs="Times New Roman"/>
          <w:sz w:val="24"/>
          <w:szCs w:val="24"/>
        </w:rPr>
        <w:t xml:space="preserve"> a means to an end in achieving further recognition of indigenous rights, rather than an end in and of itself. The Convention’s other primary function has been the incorporation of its provisions into the constitutions of countries which have so far ratified </w:t>
      </w:r>
      <w:r w:rsidR="002D3E10" w:rsidRPr="0043224D">
        <w:rPr>
          <w:rFonts w:ascii="Times New Roman" w:hAnsi="Times New Roman" w:cs="Times New Roman"/>
          <w:sz w:val="24"/>
          <w:szCs w:val="24"/>
        </w:rPr>
        <w:t>the instrument</w:t>
      </w:r>
      <w:r w:rsidR="00DA5ABA" w:rsidRPr="0043224D">
        <w:rPr>
          <w:rFonts w:ascii="Times New Roman" w:hAnsi="Times New Roman" w:cs="Times New Roman"/>
          <w:sz w:val="24"/>
          <w:szCs w:val="24"/>
        </w:rPr>
        <w:t>, in Costa Rica and Colombia for instance.</w:t>
      </w:r>
      <w:r w:rsidR="001F1956" w:rsidRPr="0043224D">
        <w:rPr>
          <w:rStyle w:val="FootnoteReference"/>
          <w:rFonts w:ascii="Times New Roman" w:hAnsi="Times New Roman" w:cs="Times New Roman"/>
          <w:sz w:val="24"/>
          <w:szCs w:val="24"/>
        </w:rPr>
        <w:footnoteReference w:id="145"/>
      </w:r>
      <w:r w:rsidR="001558B5" w:rsidRPr="0043224D">
        <w:rPr>
          <w:rFonts w:ascii="Times New Roman" w:hAnsi="Times New Roman" w:cs="Times New Roman"/>
          <w:sz w:val="24"/>
          <w:szCs w:val="24"/>
        </w:rPr>
        <w:t xml:space="preserve"> </w:t>
      </w:r>
      <w:r w:rsidR="001F1956" w:rsidRPr="0043224D">
        <w:rPr>
          <w:rFonts w:ascii="Times New Roman" w:hAnsi="Times New Roman" w:cs="Times New Roman"/>
          <w:sz w:val="24"/>
          <w:szCs w:val="24"/>
        </w:rPr>
        <w:t xml:space="preserve"> </w:t>
      </w:r>
      <w:r w:rsidR="001558B5" w:rsidRPr="0043224D">
        <w:rPr>
          <w:rFonts w:ascii="Times New Roman" w:hAnsi="Times New Roman" w:cs="Times New Roman"/>
          <w:sz w:val="24"/>
          <w:szCs w:val="24"/>
        </w:rPr>
        <w:t>This</w:t>
      </w:r>
      <w:r w:rsidR="001F1956" w:rsidRPr="0043224D">
        <w:rPr>
          <w:rFonts w:ascii="Times New Roman" w:hAnsi="Times New Roman" w:cs="Times New Roman"/>
          <w:sz w:val="24"/>
          <w:szCs w:val="24"/>
        </w:rPr>
        <w:t xml:space="preserve"> is especially true of South </w:t>
      </w:r>
      <w:r w:rsidR="00637A82" w:rsidRPr="0043224D">
        <w:rPr>
          <w:rFonts w:ascii="Times New Roman" w:hAnsi="Times New Roman" w:cs="Times New Roman"/>
          <w:sz w:val="24"/>
          <w:szCs w:val="24"/>
        </w:rPr>
        <w:t>and Central</w:t>
      </w:r>
      <w:r w:rsidR="001F1956" w:rsidRPr="0043224D">
        <w:rPr>
          <w:rFonts w:ascii="Times New Roman" w:hAnsi="Times New Roman" w:cs="Times New Roman"/>
          <w:sz w:val="24"/>
          <w:szCs w:val="24"/>
        </w:rPr>
        <w:t xml:space="preserve"> America where the majority of ratifications to the Convention are </w:t>
      </w:r>
      <w:r w:rsidR="00583251" w:rsidRPr="0043224D">
        <w:rPr>
          <w:rFonts w:ascii="Times New Roman" w:hAnsi="Times New Roman" w:cs="Times New Roman"/>
          <w:sz w:val="24"/>
          <w:szCs w:val="24"/>
        </w:rPr>
        <w:t xml:space="preserve">currently </w:t>
      </w:r>
      <w:r w:rsidR="001F1956" w:rsidRPr="0043224D">
        <w:rPr>
          <w:rFonts w:ascii="Times New Roman" w:hAnsi="Times New Roman" w:cs="Times New Roman"/>
          <w:sz w:val="24"/>
          <w:szCs w:val="24"/>
        </w:rPr>
        <w:t>derived from.</w:t>
      </w:r>
      <w:r w:rsidR="001F1956" w:rsidRPr="0043224D">
        <w:rPr>
          <w:rStyle w:val="FootnoteReference"/>
          <w:rFonts w:ascii="Times New Roman" w:hAnsi="Times New Roman" w:cs="Times New Roman"/>
          <w:sz w:val="24"/>
          <w:szCs w:val="24"/>
        </w:rPr>
        <w:footnoteReference w:id="146"/>
      </w:r>
      <w:r w:rsidR="003C215C" w:rsidRPr="0043224D">
        <w:rPr>
          <w:rFonts w:ascii="Times New Roman" w:hAnsi="Times New Roman" w:cs="Times New Roman"/>
          <w:sz w:val="24"/>
          <w:szCs w:val="24"/>
        </w:rPr>
        <w:t xml:space="preserve"> </w:t>
      </w:r>
      <w:r w:rsidR="00CF3C92" w:rsidRPr="0043224D">
        <w:rPr>
          <w:rFonts w:ascii="Times New Roman" w:hAnsi="Times New Roman" w:cs="Times New Roman"/>
          <w:sz w:val="24"/>
          <w:szCs w:val="24"/>
        </w:rPr>
        <w:t xml:space="preserve">It is also of significance to note in regards to South and Central America, many of the international standards promulgated by ILO 169 have inspired much of the more recent constitutional provisions that </w:t>
      </w:r>
      <w:r w:rsidR="00DA5ABA" w:rsidRPr="0043224D">
        <w:rPr>
          <w:rFonts w:ascii="Times New Roman" w:hAnsi="Times New Roman" w:cs="Times New Roman"/>
          <w:sz w:val="24"/>
          <w:szCs w:val="24"/>
        </w:rPr>
        <w:t xml:space="preserve">expressly </w:t>
      </w:r>
      <w:r w:rsidR="00CF3C92" w:rsidRPr="0043224D">
        <w:rPr>
          <w:rFonts w:ascii="Times New Roman" w:hAnsi="Times New Roman" w:cs="Times New Roman"/>
          <w:sz w:val="24"/>
          <w:szCs w:val="24"/>
        </w:rPr>
        <w:t>acknowledge and recognise the rights of indigenous peoples</w:t>
      </w:r>
      <w:r w:rsidR="00B13929" w:rsidRPr="0043224D">
        <w:rPr>
          <w:rFonts w:ascii="Times New Roman" w:hAnsi="Times New Roman" w:cs="Times New Roman"/>
          <w:sz w:val="24"/>
          <w:szCs w:val="24"/>
        </w:rPr>
        <w:t>.</w:t>
      </w:r>
      <w:r w:rsidR="00DA5ABA" w:rsidRPr="0043224D">
        <w:rPr>
          <w:rStyle w:val="FootnoteReference"/>
          <w:rFonts w:ascii="Times New Roman" w:hAnsi="Times New Roman" w:cs="Times New Roman"/>
          <w:sz w:val="24"/>
          <w:szCs w:val="24"/>
        </w:rPr>
        <w:footnoteReference w:id="147"/>
      </w:r>
      <w:r w:rsidR="00DA5ABA" w:rsidRPr="0043224D">
        <w:rPr>
          <w:rFonts w:ascii="Times New Roman" w:hAnsi="Times New Roman" w:cs="Times New Roman"/>
          <w:sz w:val="24"/>
          <w:szCs w:val="24"/>
        </w:rPr>
        <w:t xml:space="preserve"> </w:t>
      </w:r>
    </w:p>
    <w:p w:rsidR="007C5ED9" w:rsidRPr="0043224D" w:rsidRDefault="007C5ED9" w:rsidP="0043224D">
      <w:pPr>
        <w:autoSpaceDE w:val="0"/>
        <w:autoSpaceDN w:val="0"/>
        <w:adjustRightInd w:val="0"/>
        <w:spacing w:after="0" w:line="360" w:lineRule="auto"/>
        <w:rPr>
          <w:rFonts w:ascii="Times New Roman" w:hAnsi="Times New Roman" w:cs="Times New Roman"/>
          <w:sz w:val="24"/>
          <w:szCs w:val="24"/>
        </w:rPr>
      </w:pPr>
    </w:p>
    <w:p w:rsidR="00060EEC" w:rsidRDefault="00060EEC">
      <w:pPr>
        <w:rPr>
          <w:rFonts w:ascii="Times New Roman" w:eastAsiaTheme="majorEastAsia" w:hAnsi="Times New Roman" w:cstheme="majorBidi"/>
          <w:b/>
          <w:bCs/>
          <w:color w:val="365F91" w:themeColor="accent1" w:themeShade="BF"/>
          <w:sz w:val="36"/>
          <w:szCs w:val="28"/>
        </w:rPr>
      </w:pPr>
      <w:r>
        <w:br w:type="page"/>
      </w:r>
    </w:p>
    <w:p w:rsidR="00BB22A9" w:rsidRPr="00254C2D" w:rsidRDefault="008A2C9C" w:rsidP="0043224D">
      <w:pPr>
        <w:pStyle w:val="Heading1"/>
        <w:spacing w:line="360" w:lineRule="auto"/>
      </w:pPr>
      <w:bookmarkStart w:id="29" w:name="_Toc399848361"/>
      <w:r w:rsidRPr="00254C2D">
        <w:t xml:space="preserve">Chapter </w:t>
      </w:r>
      <w:r w:rsidR="002A5666">
        <w:t>5</w:t>
      </w:r>
      <w:r w:rsidR="00850722">
        <w:t xml:space="preserve"> -</w:t>
      </w:r>
      <w:r w:rsidR="00484053">
        <w:t xml:space="preserve"> </w:t>
      </w:r>
      <w:r w:rsidR="009D6EE2">
        <w:t>The Guiding Principles on Internal Displacement and the UN Declaration on the Rights of Indigenous Peoples</w:t>
      </w:r>
      <w:bookmarkEnd w:id="29"/>
      <w:r w:rsidR="009D6EE2">
        <w:t xml:space="preserve"> </w:t>
      </w:r>
      <w:r w:rsidR="00484053">
        <w:t xml:space="preserve"> </w:t>
      </w:r>
    </w:p>
    <w:p w:rsidR="00CC4E38" w:rsidRPr="0052620D" w:rsidRDefault="002A5666" w:rsidP="0043224D">
      <w:pPr>
        <w:pStyle w:val="Heading2"/>
        <w:spacing w:line="360" w:lineRule="auto"/>
        <w:rPr>
          <w:sz w:val="44"/>
          <w:szCs w:val="44"/>
        </w:rPr>
      </w:pPr>
      <w:bookmarkStart w:id="30" w:name="_Toc399848362"/>
      <w:r>
        <w:t>5.1</w:t>
      </w:r>
      <w:r w:rsidR="004F5E7E" w:rsidRPr="0052620D">
        <w:t xml:space="preserve"> </w:t>
      </w:r>
      <w:r w:rsidR="00CC4E38" w:rsidRPr="0052620D">
        <w:t>Introduction</w:t>
      </w:r>
      <w:r w:rsidR="006179B8" w:rsidRPr="0052620D">
        <w:t>:</w:t>
      </w:r>
      <w:r w:rsidR="006179B8" w:rsidRPr="0052620D">
        <w:rPr>
          <w:sz w:val="44"/>
          <w:szCs w:val="44"/>
        </w:rPr>
        <w:t xml:space="preserve"> </w:t>
      </w:r>
      <w:r w:rsidR="006179B8" w:rsidRPr="0052620D">
        <w:t>Is the Right Not to be</w:t>
      </w:r>
      <w:r w:rsidR="003E34A8">
        <w:t xml:space="preserve"> Forcibly</w:t>
      </w:r>
      <w:r w:rsidR="006179B8" w:rsidRPr="0052620D">
        <w:t xml:space="preserve"> </w:t>
      </w:r>
      <w:r w:rsidR="003E34A8">
        <w:t>D</w:t>
      </w:r>
      <w:r w:rsidR="006179B8" w:rsidRPr="0052620D">
        <w:t>isplaced an Emerging Norm?</w:t>
      </w:r>
      <w:bookmarkEnd w:id="30"/>
      <w:r w:rsidR="00CC4E38" w:rsidRPr="0052620D">
        <w:rPr>
          <w:sz w:val="44"/>
          <w:szCs w:val="44"/>
        </w:rPr>
        <w:t xml:space="preserve"> </w:t>
      </w:r>
    </w:p>
    <w:p w:rsidR="009F7CB5" w:rsidRPr="0043224D" w:rsidRDefault="007C0DC2"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Populations who are</w:t>
      </w:r>
      <w:r w:rsidR="00FB3E1E" w:rsidRPr="0043224D">
        <w:rPr>
          <w:rFonts w:ascii="Times New Roman" w:hAnsi="Times New Roman" w:cs="Times New Roman"/>
          <w:sz w:val="24"/>
          <w:szCs w:val="24"/>
        </w:rPr>
        <w:t xml:space="preserve"> internally</w:t>
      </w:r>
      <w:r w:rsidRPr="0043224D">
        <w:rPr>
          <w:rFonts w:ascii="Times New Roman" w:hAnsi="Times New Roman" w:cs="Times New Roman"/>
          <w:sz w:val="24"/>
          <w:szCs w:val="24"/>
        </w:rPr>
        <w:t xml:space="preserve"> displaced</w:t>
      </w:r>
      <w:r w:rsidR="00FB3E1E" w:rsidRPr="0043224D">
        <w:rPr>
          <w:rFonts w:ascii="Times New Roman" w:hAnsi="Times New Roman" w:cs="Times New Roman"/>
          <w:sz w:val="24"/>
          <w:szCs w:val="24"/>
        </w:rPr>
        <w:t xml:space="preserve"> whether by conflict, human rights violations, natural disasters or development projects are placed in a uniquely vulnerable position</w:t>
      </w:r>
      <w:r w:rsidR="003C7CF3" w:rsidRPr="0043224D">
        <w:rPr>
          <w:rFonts w:ascii="Times New Roman" w:hAnsi="Times New Roman" w:cs="Times New Roman"/>
          <w:sz w:val="24"/>
          <w:szCs w:val="24"/>
        </w:rPr>
        <w:t xml:space="preserve"> </w:t>
      </w:r>
      <w:r w:rsidR="00E26258" w:rsidRPr="0043224D">
        <w:rPr>
          <w:rFonts w:ascii="Times New Roman" w:hAnsi="Times New Roman" w:cs="Times New Roman"/>
          <w:sz w:val="24"/>
          <w:szCs w:val="24"/>
        </w:rPr>
        <w:t>regarding potential</w:t>
      </w:r>
      <w:r w:rsidR="003C7CF3" w:rsidRPr="0043224D">
        <w:rPr>
          <w:rFonts w:ascii="Times New Roman" w:hAnsi="Times New Roman" w:cs="Times New Roman"/>
          <w:sz w:val="24"/>
          <w:szCs w:val="24"/>
        </w:rPr>
        <w:t xml:space="preserve"> human rights violations</w:t>
      </w:r>
      <w:r w:rsidR="00FB3E1E" w:rsidRPr="0043224D">
        <w:rPr>
          <w:rFonts w:ascii="Times New Roman" w:hAnsi="Times New Roman" w:cs="Times New Roman"/>
          <w:sz w:val="24"/>
          <w:szCs w:val="24"/>
        </w:rPr>
        <w:t>. When the populations who are displaced are already from the most discriminated and marginalised groups in society</w:t>
      </w:r>
      <w:r w:rsidR="00FD00A9" w:rsidRPr="0043224D">
        <w:rPr>
          <w:rFonts w:ascii="Times New Roman" w:hAnsi="Times New Roman" w:cs="Times New Roman"/>
          <w:sz w:val="24"/>
          <w:szCs w:val="24"/>
        </w:rPr>
        <w:t xml:space="preserve"> already disproportionally affected by poverty</w:t>
      </w:r>
      <w:r w:rsidR="00FB3E1E" w:rsidRPr="0043224D">
        <w:rPr>
          <w:rFonts w:ascii="Times New Roman" w:hAnsi="Times New Roman" w:cs="Times New Roman"/>
          <w:sz w:val="24"/>
          <w:szCs w:val="24"/>
        </w:rPr>
        <w:t>,</w:t>
      </w:r>
      <w:r w:rsidR="00EC53E9" w:rsidRPr="0043224D">
        <w:rPr>
          <w:rStyle w:val="FootnoteReference"/>
          <w:rFonts w:ascii="Times New Roman" w:hAnsi="Times New Roman" w:cs="Times New Roman"/>
          <w:sz w:val="24"/>
          <w:szCs w:val="24"/>
        </w:rPr>
        <w:footnoteReference w:id="148"/>
      </w:r>
      <w:r w:rsidR="003C7CF3" w:rsidRPr="0043224D">
        <w:rPr>
          <w:rFonts w:ascii="Times New Roman" w:hAnsi="Times New Roman" w:cs="Times New Roman"/>
          <w:sz w:val="24"/>
          <w:szCs w:val="24"/>
        </w:rPr>
        <w:t xml:space="preserve"> the vulnerabilities</w:t>
      </w:r>
      <w:r w:rsidR="00FB3E1E" w:rsidRPr="0043224D">
        <w:rPr>
          <w:rFonts w:ascii="Times New Roman" w:hAnsi="Times New Roman" w:cs="Times New Roman"/>
          <w:sz w:val="24"/>
          <w:szCs w:val="24"/>
        </w:rPr>
        <w:t xml:space="preserve"> </w:t>
      </w:r>
      <w:r w:rsidR="00D9152B" w:rsidRPr="0043224D">
        <w:rPr>
          <w:rFonts w:ascii="Times New Roman" w:hAnsi="Times New Roman" w:cs="Times New Roman"/>
          <w:sz w:val="24"/>
          <w:szCs w:val="24"/>
        </w:rPr>
        <w:t xml:space="preserve">they then encounter and experience </w:t>
      </w:r>
      <w:r w:rsidR="002918E3" w:rsidRPr="0043224D">
        <w:rPr>
          <w:rFonts w:ascii="Times New Roman" w:hAnsi="Times New Roman" w:cs="Times New Roman"/>
          <w:sz w:val="24"/>
          <w:szCs w:val="24"/>
        </w:rPr>
        <w:t>are</w:t>
      </w:r>
      <w:r w:rsidR="00D9152B" w:rsidRPr="0043224D">
        <w:rPr>
          <w:rFonts w:ascii="Times New Roman" w:hAnsi="Times New Roman" w:cs="Times New Roman"/>
          <w:sz w:val="24"/>
          <w:szCs w:val="24"/>
        </w:rPr>
        <w:t xml:space="preserve"> multiplied. Although disaggregated data at the regional and country level on the effects and consequences of displacement on indigenous nomadic peoples </w:t>
      </w:r>
      <w:r w:rsidR="00A017CA" w:rsidRPr="0043224D">
        <w:rPr>
          <w:rFonts w:ascii="Times New Roman" w:hAnsi="Times New Roman" w:cs="Times New Roman"/>
          <w:sz w:val="24"/>
          <w:szCs w:val="24"/>
        </w:rPr>
        <w:t>are</w:t>
      </w:r>
      <w:r w:rsidR="00D9152B" w:rsidRPr="0043224D">
        <w:rPr>
          <w:rFonts w:ascii="Times New Roman" w:hAnsi="Times New Roman" w:cs="Times New Roman"/>
          <w:sz w:val="24"/>
          <w:szCs w:val="24"/>
        </w:rPr>
        <w:t xml:space="preserve"> rarely available,</w:t>
      </w:r>
      <w:r w:rsidR="00FD00A9" w:rsidRPr="0043224D">
        <w:rPr>
          <w:rStyle w:val="FootnoteReference"/>
          <w:rFonts w:ascii="Times New Roman" w:hAnsi="Times New Roman" w:cs="Times New Roman"/>
          <w:sz w:val="24"/>
          <w:szCs w:val="24"/>
        </w:rPr>
        <w:footnoteReference w:id="149"/>
      </w:r>
      <w:r w:rsidR="00484053" w:rsidRPr="0043224D">
        <w:rPr>
          <w:rFonts w:ascii="Times New Roman" w:hAnsi="Times New Roman" w:cs="Times New Roman"/>
          <w:sz w:val="24"/>
          <w:szCs w:val="24"/>
        </w:rPr>
        <w:t xml:space="preserve"> as more often than not indigenous peoples</w:t>
      </w:r>
      <w:r w:rsidR="00A05759" w:rsidRPr="0043224D">
        <w:rPr>
          <w:rFonts w:ascii="Times New Roman" w:hAnsi="Times New Roman" w:cs="Times New Roman"/>
          <w:sz w:val="24"/>
          <w:szCs w:val="24"/>
        </w:rPr>
        <w:t xml:space="preserve"> are not seen to constitute a recognisably distinct minority</w:t>
      </w:r>
      <w:r w:rsidR="00B13929" w:rsidRPr="0043224D">
        <w:rPr>
          <w:rFonts w:ascii="Times New Roman" w:hAnsi="Times New Roman" w:cs="Times New Roman"/>
          <w:sz w:val="24"/>
          <w:szCs w:val="24"/>
        </w:rPr>
        <w:t xml:space="preserve"> by states when displaced</w:t>
      </w:r>
      <w:r w:rsidR="00A05759" w:rsidRPr="0043224D">
        <w:rPr>
          <w:rFonts w:ascii="Times New Roman" w:hAnsi="Times New Roman" w:cs="Times New Roman"/>
          <w:sz w:val="24"/>
          <w:szCs w:val="24"/>
        </w:rPr>
        <w:t>,</w:t>
      </w:r>
      <w:r w:rsidR="00D9152B" w:rsidRPr="0043224D">
        <w:rPr>
          <w:rFonts w:ascii="Times New Roman" w:hAnsi="Times New Roman" w:cs="Times New Roman"/>
          <w:sz w:val="24"/>
          <w:szCs w:val="24"/>
        </w:rPr>
        <w:t xml:space="preserve"> a picture </w:t>
      </w:r>
      <w:r w:rsidR="00FD00A9" w:rsidRPr="0043224D">
        <w:rPr>
          <w:rFonts w:ascii="Times New Roman" w:hAnsi="Times New Roman" w:cs="Times New Roman"/>
          <w:sz w:val="24"/>
          <w:szCs w:val="24"/>
        </w:rPr>
        <w:t xml:space="preserve">nevertheless </w:t>
      </w:r>
      <w:r w:rsidR="00D9152B" w:rsidRPr="0043224D">
        <w:rPr>
          <w:rFonts w:ascii="Times New Roman" w:hAnsi="Times New Roman" w:cs="Times New Roman"/>
          <w:sz w:val="24"/>
          <w:szCs w:val="24"/>
        </w:rPr>
        <w:t>emerges from both scholarly articles</w:t>
      </w:r>
      <w:r w:rsidR="009F7CB5" w:rsidRPr="0043224D">
        <w:rPr>
          <w:rStyle w:val="FootnoteReference"/>
          <w:rFonts w:ascii="Times New Roman" w:hAnsi="Times New Roman" w:cs="Times New Roman"/>
          <w:sz w:val="24"/>
          <w:szCs w:val="24"/>
        </w:rPr>
        <w:footnoteReference w:id="150"/>
      </w:r>
      <w:r w:rsidR="00D9152B" w:rsidRPr="0043224D">
        <w:rPr>
          <w:rFonts w:ascii="Times New Roman" w:hAnsi="Times New Roman" w:cs="Times New Roman"/>
          <w:sz w:val="24"/>
          <w:szCs w:val="24"/>
        </w:rPr>
        <w:t xml:space="preserve"> and human rights reports of the disproportionate</w:t>
      </w:r>
      <w:r w:rsidR="002918E3" w:rsidRPr="0043224D">
        <w:rPr>
          <w:rFonts w:ascii="Times New Roman" w:hAnsi="Times New Roman" w:cs="Times New Roman"/>
          <w:sz w:val="24"/>
          <w:szCs w:val="24"/>
        </w:rPr>
        <w:t xml:space="preserve"> cultural and social</w:t>
      </w:r>
      <w:r w:rsidR="00D9152B" w:rsidRPr="0043224D">
        <w:rPr>
          <w:rFonts w:ascii="Times New Roman" w:hAnsi="Times New Roman" w:cs="Times New Roman"/>
          <w:sz w:val="24"/>
          <w:szCs w:val="24"/>
        </w:rPr>
        <w:t xml:space="preserve"> effect on nomadic populations</w:t>
      </w:r>
      <w:r w:rsidR="00EC53E9" w:rsidRPr="0043224D">
        <w:rPr>
          <w:rFonts w:ascii="Times New Roman" w:hAnsi="Times New Roman" w:cs="Times New Roman"/>
          <w:sz w:val="24"/>
          <w:szCs w:val="24"/>
        </w:rPr>
        <w:t xml:space="preserve"> of </w:t>
      </w:r>
      <w:r w:rsidR="002918E3" w:rsidRPr="0043224D">
        <w:rPr>
          <w:rFonts w:ascii="Times New Roman" w:hAnsi="Times New Roman" w:cs="Times New Roman"/>
          <w:sz w:val="24"/>
          <w:szCs w:val="24"/>
        </w:rPr>
        <w:t xml:space="preserve">the </w:t>
      </w:r>
      <w:r w:rsidR="00EC53E9" w:rsidRPr="0043224D">
        <w:rPr>
          <w:rFonts w:ascii="Times New Roman" w:hAnsi="Times New Roman" w:cs="Times New Roman"/>
          <w:sz w:val="24"/>
          <w:szCs w:val="24"/>
        </w:rPr>
        <w:t>displacement</w:t>
      </w:r>
      <w:r w:rsidR="002918E3" w:rsidRPr="0043224D">
        <w:rPr>
          <w:rFonts w:ascii="Times New Roman" w:hAnsi="Times New Roman" w:cs="Times New Roman"/>
          <w:sz w:val="24"/>
          <w:szCs w:val="24"/>
        </w:rPr>
        <w:t xml:space="preserve"> process</w:t>
      </w:r>
      <w:r w:rsidR="0001234F" w:rsidRPr="0043224D">
        <w:rPr>
          <w:rFonts w:ascii="Times New Roman" w:hAnsi="Times New Roman" w:cs="Times New Roman"/>
          <w:sz w:val="24"/>
          <w:szCs w:val="24"/>
        </w:rPr>
        <w:t>.</w:t>
      </w:r>
      <w:r w:rsidR="00D9152B" w:rsidRPr="0043224D">
        <w:rPr>
          <w:rStyle w:val="FootnoteReference"/>
          <w:rFonts w:ascii="Times New Roman" w:hAnsi="Times New Roman" w:cs="Times New Roman"/>
          <w:sz w:val="24"/>
          <w:szCs w:val="24"/>
        </w:rPr>
        <w:footnoteReference w:id="151"/>
      </w:r>
      <w:r w:rsidR="00EC53E9" w:rsidRPr="0043224D">
        <w:rPr>
          <w:rFonts w:ascii="Times New Roman" w:hAnsi="Times New Roman" w:cs="Times New Roman"/>
          <w:sz w:val="24"/>
          <w:szCs w:val="24"/>
        </w:rPr>
        <w:t xml:space="preserve"> </w:t>
      </w:r>
    </w:p>
    <w:p w:rsidR="00A236D5" w:rsidRPr="0043224D" w:rsidRDefault="0001234F"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 c</w:t>
      </w:r>
      <w:r w:rsidR="00E93A20" w:rsidRPr="0043224D">
        <w:rPr>
          <w:rFonts w:ascii="Times New Roman" w:hAnsi="Times New Roman" w:cs="Times New Roman"/>
          <w:sz w:val="24"/>
          <w:szCs w:val="24"/>
        </w:rPr>
        <w:t>ritical point however in understanding this phenomenon is that</w:t>
      </w:r>
      <w:r w:rsidR="00484053" w:rsidRPr="0043224D">
        <w:rPr>
          <w:rFonts w:ascii="Times New Roman" w:hAnsi="Times New Roman" w:cs="Times New Roman"/>
          <w:sz w:val="24"/>
          <w:szCs w:val="24"/>
        </w:rPr>
        <w:t xml:space="preserve"> indigenous peoples</w:t>
      </w:r>
      <w:r w:rsidR="00B13929" w:rsidRPr="0043224D">
        <w:rPr>
          <w:rFonts w:ascii="Times New Roman" w:hAnsi="Times New Roman" w:cs="Times New Roman"/>
          <w:sz w:val="24"/>
          <w:szCs w:val="24"/>
        </w:rPr>
        <w:t xml:space="preserve"> often</w:t>
      </w:r>
      <w:r w:rsidR="00EC53E9" w:rsidRPr="0043224D">
        <w:rPr>
          <w:rFonts w:ascii="Times New Roman" w:hAnsi="Times New Roman" w:cs="Times New Roman"/>
          <w:sz w:val="24"/>
          <w:szCs w:val="24"/>
        </w:rPr>
        <w:t xml:space="preserve"> live on some of the most biodiverse and mineral rich territories in the world. Territories coveted both by</w:t>
      </w:r>
      <w:r w:rsidR="00381DD8" w:rsidRPr="0043224D">
        <w:rPr>
          <w:rFonts w:ascii="Times New Roman" w:hAnsi="Times New Roman" w:cs="Times New Roman"/>
          <w:sz w:val="24"/>
          <w:szCs w:val="24"/>
        </w:rPr>
        <w:t xml:space="preserve"> host</w:t>
      </w:r>
      <w:r w:rsidR="00EC53E9" w:rsidRPr="0043224D">
        <w:rPr>
          <w:rFonts w:ascii="Times New Roman" w:hAnsi="Times New Roman" w:cs="Times New Roman"/>
          <w:sz w:val="24"/>
          <w:szCs w:val="24"/>
        </w:rPr>
        <w:t xml:space="preserve"> nation-states who have a legitimate</w:t>
      </w:r>
      <w:r w:rsidR="006300AE" w:rsidRPr="0043224D">
        <w:rPr>
          <w:rFonts w:ascii="Times New Roman" w:hAnsi="Times New Roman" w:cs="Times New Roman"/>
          <w:sz w:val="24"/>
          <w:szCs w:val="24"/>
        </w:rPr>
        <w:t xml:space="preserve"> but not legally unbounded</w:t>
      </w:r>
      <w:r w:rsidR="00EC53E9" w:rsidRPr="0043224D">
        <w:rPr>
          <w:rFonts w:ascii="Times New Roman" w:hAnsi="Times New Roman" w:cs="Times New Roman"/>
          <w:sz w:val="24"/>
          <w:szCs w:val="24"/>
        </w:rPr>
        <w:t xml:space="preserve"> desire to develop the resources therein </w:t>
      </w:r>
      <w:r w:rsidR="00381DD8" w:rsidRPr="0043224D">
        <w:rPr>
          <w:rFonts w:ascii="Times New Roman" w:hAnsi="Times New Roman" w:cs="Times New Roman"/>
          <w:sz w:val="24"/>
          <w:szCs w:val="24"/>
        </w:rPr>
        <w:t xml:space="preserve">and thereby </w:t>
      </w:r>
      <w:r w:rsidR="00522391" w:rsidRPr="0043224D">
        <w:rPr>
          <w:rFonts w:ascii="Times New Roman" w:hAnsi="Times New Roman" w:cs="Times New Roman"/>
          <w:sz w:val="24"/>
          <w:szCs w:val="24"/>
        </w:rPr>
        <w:t xml:space="preserve">develop </w:t>
      </w:r>
      <w:r w:rsidR="003C7CF3" w:rsidRPr="0043224D">
        <w:rPr>
          <w:rFonts w:ascii="Times New Roman" w:hAnsi="Times New Roman" w:cs="Times New Roman"/>
          <w:sz w:val="24"/>
          <w:szCs w:val="24"/>
        </w:rPr>
        <w:t>economically</w:t>
      </w:r>
      <w:r w:rsidRPr="0043224D">
        <w:rPr>
          <w:rFonts w:ascii="Times New Roman" w:hAnsi="Times New Roman" w:cs="Times New Roman"/>
          <w:sz w:val="24"/>
          <w:szCs w:val="24"/>
        </w:rPr>
        <w:t>,</w:t>
      </w:r>
      <w:r w:rsidR="009F7CB5" w:rsidRPr="0043224D">
        <w:rPr>
          <w:rFonts w:ascii="Times New Roman" w:hAnsi="Times New Roman" w:cs="Times New Roman"/>
          <w:sz w:val="24"/>
          <w:szCs w:val="24"/>
        </w:rPr>
        <w:t xml:space="preserve"> </w:t>
      </w:r>
      <w:r w:rsidR="00B13929" w:rsidRPr="0043224D">
        <w:rPr>
          <w:rFonts w:ascii="Times New Roman" w:hAnsi="Times New Roman" w:cs="Times New Roman"/>
          <w:sz w:val="24"/>
          <w:szCs w:val="24"/>
        </w:rPr>
        <w:t>and</w:t>
      </w:r>
      <w:r w:rsidR="00EC53E9" w:rsidRPr="0043224D">
        <w:rPr>
          <w:rFonts w:ascii="Times New Roman" w:hAnsi="Times New Roman" w:cs="Times New Roman"/>
          <w:sz w:val="24"/>
          <w:szCs w:val="24"/>
        </w:rPr>
        <w:t xml:space="preserve"> by large multinational extractive companies whose </w:t>
      </w:r>
      <w:r w:rsidR="009F7CB5" w:rsidRPr="0043224D">
        <w:rPr>
          <w:rFonts w:ascii="Times New Roman" w:hAnsi="Times New Roman" w:cs="Times New Roman"/>
          <w:sz w:val="24"/>
          <w:szCs w:val="24"/>
        </w:rPr>
        <w:t xml:space="preserve">technical </w:t>
      </w:r>
      <w:r w:rsidR="00EC53E9" w:rsidRPr="0043224D">
        <w:rPr>
          <w:rFonts w:ascii="Times New Roman" w:hAnsi="Times New Roman" w:cs="Times New Roman"/>
          <w:sz w:val="24"/>
          <w:szCs w:val="24"/>
        </w:rPr>
        <w:t xml:space="preserve">expertise they need to extract those resources. </w:t>
      </w:r>
      <w:r w:rsidR="00381DD8" w:rsidRPr="0043224D">
        <w:rPr>
          <w:rFonts w:ascii="Times New Roman" w:hAnsi="Times New Roman" w:cs="Times New Roman"/>
          <w:sz w:val="24"/>
          <w:szCs w:val="24"/>
        </w:rPr>
        <w:t>By this compl</w:t>
      </w:r>
      <w:r w:rsidR="00484053" w:rsidRPr="0043224D">
        <w:rPr>
          <w:rFonts w:ascii="Times New Roman" w:hAnsi="Times New Roman" w:cs="Times New Roman"/>
          <w:sz w:val="24"/>
          <w:szCs w:val="24"/>
        </w:rPr>
        <w:t>icated and intricate nexus, indigenous peoples</w:t>
      </w:r>
      <w:r w:rsidR="00C24FD7" w:rsidRPr="0043224D">
        <w:rPr>
          <w:rFonts w:ascii="Times New Roman" w:hAnsi="Times New Roman" w:cs="Times New Roman"/>
          <w:sz w:val="24"/>
          <w:szCs w:val="24"/>
        </w:rPr>
        <w:t>’</w:t>
      </w:r>
      <w:r w:rsidR="00381DD8" w:rsidRPr="0043224D">
        <w:rPr>
          <w:rFonts w:ascii="Times New Roman" w:hAnsi="Times New Roman" w:cs="Times New Roman"/>
          <w:sz w:val="24"/>
          <w:szCs w:val="24"/>
        </w:rPr>
        <w:t xml:space="preserve"> dispossession and</w:t>
      </w:r>
      <w:r w:rsidR="00A05759" w:rsidRPr="0043224D">
        <w:rPr>
          <w:rFonts w:ascii="Times New Roman" w:hAnsi="Times New Roman" w:cs="Times New Roman"/>
          <w:sz w:val="24"/>
          <w:szCs w:val="24"/>
        </w:rPr>
        <w:t xml:space="preserve"> subsequent</w:t>
      </w:r>
      <w:r w:rsidR="00381DD8" w:rsidRPr="0043224D">
        <w:rPr>
          <w:rFonts w:ascii="Times New Roman" w:hAnsi="Times New Roman" w:cs="Times New Roman"/>
          <w:sz w:val="24"/>
          <w:szCs w:val="24"/>
        </w:rPr>
        <w:t xml:space="preserve"> displacement are intrinsically linked to development policies at the national and international </w:t>
      </w:r>
      <w:r w:rsidR="00582CAF" w:rsidRPr="0043224D">
        <w:rPr>
          <w:rFonts w:ascii="Times New Roman" w:hAnsi="Times New Roman" w:cs="Times New Roman"/>
          <w:sz w:val="24"/>
          <w:szCs w:val="24"/>
        </w:rPr>
        <w:t>level</w:t>
      </w:r>
      <w:r w:rsidR="00381DD8" w:rsidRPr="0043224D">
        <w:rPr>
          <w:rFonts w:ascii="Times New Roman" w:hAnsi="Times New Roman" w:cs="Times New Roman"/>
          <w:sz w:val="24"/>
          <w:szCs w:val="24"/>
        </w:rPr>
        <w:t xml:space="preserve"> and to global investors and therefore</w:t>
      </w:r>
      <w:r w:rsidR="00582CAF" w:rsidRPr="0043224D">
        <w:rPr>
          <w:rFonts w:ascii="Times New Roman" w:hAnsi="Times New Roman" w:cs="Times New Roman"/>
          <w:sz w:val="24"/>
          <w:szCs w:val="24"/>
        </w:rPr>
        <w:t xml:space="preserve"> to</w:t>
      </w:r>
      <w:r w:rsidR="00381DD8" w:rsidRPr="0043224D">
        <w:rPr>
          <w:rFonts w:ascii="Times New Roman" w:hAnsi="Times New Roman" w:cs="Times New Roman"/>
          <w:sz w:val="24"/>
          <w:szCs w:val="24"/>
        </w:rPr>
        <w:t xml:space="preserve"> global</w:t>
      </w:r>
      <w:r w:rsidR="00582CAF" w:rsidRPr="0043224D">
        <w:rPr>
          <w:rFonts w:ascii="Times New Roman" w:hAnsi="Times New Roman" w:cs="Times New Roman"/>
          <w:sz w:val="24"/>
          <w:szCs w:val="24"/>
        </w:rPr>
        <w:t xml:space="preserve"> energy</w:t>
      </w:r>
      <w:r w:rsidR="00381DD8" w:rsidRPr="0043224D">
        <w:rPr>
          <w:rFonts w:ascii="Times New Roman" w:hAnsi="Times New Roman" w:cs="Times New Roman"/>
          <w:sz w:val="24"/>
          <w:szCs w:val="24"/>
        </w:rPr>
        <w:t xml:space="preserve"> markets; commodity markets in gold, oil, gas and rubber</w:t>
      </w:r>
      <w:r w:rsidRPr="0043224D">
        <w:rPr>
          <w:rFonts w:ascii="Times New Roman" w:hAnsi="Times New Roman" w:cs="Times New Roman"/>
          <w:sz w:val="24"/>
          <w:szCs w:val="24"/>
        </w:rPr>
        <w:t>.</w:t>
      </w:r>
      <w:r w:rsidR="00A05759" w:rsidRPr="0043224D">
        <w:rPr>
          <w:rFonts w:ascii="Times New Roman" w:hAnsi="Times New Roman" w:cs="Times New Roman"/>
          <w:sz w:val="24"/>
          <w:szCs w:val="24"/>
        </w:rPr>
        <w:t xml:space="preserve">    </w:t>
      </w:r>
    </w:p>
    <w:p w:rsidR="00846493" w:rsidRPr="0052620D" w:rsidRDefault="002A5666" w:rsidP="0043224D">
      <w:pPr>
        <w:pStyle w:val="Heading2"/>
        <w:spacing w:line="360" w:lineRule="auto"/>
      </w:pPr>
      <w:bookmarkStart w:id="31" w:name="_Toc399848363"/>
      <w:r>
        <w:t>5.2</w:t>
      </w:r>
      <w:r w:rsidR="00FB755C" w:rsidRPr="0052620D">
        <w:t xml:space="preserve"> </w:t>
      </w:r>
      <w:r w:rsidR="0052620D">
        <w:t xml:space="preserve">UN </w:t>
      </w:r>
      <w:r w:rsidR="00FB755C" w:rsidRPr="0052620D">
        <w:t>Guiding Principles</w:t>
      </w:r>
      <w:r w:rsidR="00E62DBE" w:rsidRPr="0052620D">
        <w:t xml:space="preserve"> on Internal Displacement</w:t>
      </w:r>
      <w:bookmarkEnd w:id="31"/>
      <w:r w:rsidR="00E62DBE" w:rsidRPr="0052620D">
        <w:t xml:space="preserve"> </w:t>
      </w:r>
    </w:p>
    <w:p w:rsidR="00D17B9C" w:rsidRPr="0043224D" w:rsidRDefault="007634F5"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In 1998 the UN sought to codify</w:t>
      </w:r>
      <w:r w:rsidR="005C04A3" w:rsidRPr="0043224D">
        <w:rPr>
          <w:rFonts w:ascii="Times New Roman" w:hAnsi="Times New Roman" w:cs="Times New Roman"/>
          <w:sz w:val="24"/>
          <w:szCs w:val="24"/>
        </w:rPr>
        <w:t xml:space="preserve"> under a normative framework</w:t>
      </w:r>
      <w:r w:rsidRPr="0043224D">
        <w:rPr>
          <w:rFonts w:ascii="Times New Roman" w:hAnsi="Times New Roman" w:cs="Times New Roman"/>
          <w:sz w:val="24"/>
          <w:szCs w:val="24"/>
        </w:rPr>
        <w:t xml:space="preserve"> the rights and needs of internally displaced populations with the publication of the</w:t>
      </w:r>
      <w:r w:rsidR="00F41E70" w:rsidRPr="0043224D">
        <w:rPr>
          <w:rFonts w:ascii="Times New Roman" w:hAnsi="Times New Roman" w:cs="Times New Roman"/>
          <w:sz w:val="24"/>
          <w:szCs w:val="24"/>
        </w:rPr>
        <w:t xml:space="preserve"> non-binding</w:t>
      </w:r>
      <w:r w:rsidRPr="0043224D">
        <w:rPr>
          <w:rFonts w:ascii="Times New Roman" w:hAnsi="Times New Roman" w:cs="Times New Roman"/>
          <w:sz w:val="24"/>
          <w:szCs w:val="24"/>
        </w:rPr>
        <w:t xml:space="preserve"> Guiding Principles on Internal Displacement.</w:t>
      </w:r>
      <w:r w:rsidR="00316515" w:rsidRPr="0043224D">
        <w:rPr>
          <w:rStyle w:val="FootnoteReference"/>
          <w:rFonts w:ascii="Times New Roman" w:hAnsi="Times New Roman" w:cs="Times New Roman"/>
          <w:sz w:val="24"/>
          <w:szCs w:val="24"/>
        </w:rPr>
        <w:footnoteReference w:id="152"/>
      </w:r>
      <w:r w:rsidRPr="0043224D">
        <w:rPr>
          <w:rFonts w:ascii="Times New Roman" w:hAnsi="Times New Roman" w:cs="Times New Roman"/>
          <w:sz w:val="24"/>
          <w:szCs w:val="24"/>
        </w:rPr>
        <w:t xml:space="preserve"> </w:t>
      </w:r>
      <w:r w:rsidR="00E93A20" w:rsidRPr="0043224D">
        <w:rPr>
          <w:rFonts w:ascii="Times New Roman" w:hAnsi="Times New Roman" w:cs="Times New Roman"/>
          <w:sz w:val="24"/>
          <w:szCs w:val="24"/>
        </w:rPr>
        <w:t xml:space="preserve">The </w:t>
      </w:r>
      <w:r w:rsidR="003866F1" w:rsidRPr="0043224D">
        <w:rPr>
          <w:rFonts w:ascii="Times New Roman" w:hAnsi="Times New Roman" w:cs="Times New Roman"/>
          <w:sz w:val="24"/>
          <w:szCs w:val="24"/>
        </w:rPr>
        <w:t>instrument</w:t>
      </w:r>
      <w:r w:rsidR="00E93A20" w:rsidRPr="0043224D">
        <w:rPr>
          <w:rFonts w:ascii="Times New Roman" w:hAnsi="Times New Roman" w:cs="Times New Roman"/>
          <w:sz w:val="24"/>
          <w:szCs w:val="24"/>
        </w:rPr>
        <w:t xml:space="preserve"> seeks to</w:t>
      </w:r>
      <w:r w:rsidR="00EC7DFF" w:rsidRPr="0043224D">
        <w:rPr>
          <w:rFonts w:ascii="Times New Roman" w:hAnsi="Times New Roman" w:cs="Times New Roman"/>
          <w:sz w:val="24"/>
          <w:szCs w:val="24"/>
        </w:rPr>
        <w:t xml:space="preserve"> identify and guarantee the rights and protections to which persons </w:t>
      </w:r>
      <w:r w:rsidR="0001234F" w:rsidRPr="0043224D">
        <w:rPr>
          <w:rFonts w:ascii="Times New Roman" w:hAnsi="Times New Roman" w:cs="Times New Roman"/>
          <w:sz w:val="24"/>
          <w:szCs w:val="24"/>
        </w:rPr>
        <w:t>internally</w:t>
      </w:r>
      <w:r w:rsidR="00EC7DFF" w:rsidRPr="0043224D">
        <w:rPr>
          <w:rFonts w:ascii="Times New Roman" w:hAnsi="Times New Roman" w:cs="Times New Roman"/>
          <w:sz w:val="24"/>
          <w:szCs w:val="24"/>
        </w:rPr>
        <w:t xml:space="preserve"> displaced </w:t>
      </w:r>
      <w:r w:rsidR="00316515" w:rsidRPr="0043224D">
        <w:rPr>
          <w:rFonts w:ascii="Times New Roman" w:hAnsi="Times New Roman" w:cs="Times New Roman"/>
          <w:sz w:val="24"/>
          <w:szCs w:val="24"/>
        </w:rPr>
        <w:t>are protected by</w:t>
      </w:r>
      <w:r w:rsidR="00F60BB5" w:rsidRPr="0043224D">
        <w:rPr>
          <w:rFonts w:ascii="Times New Roman" w:hAnsi="Times New Roman" w:cs="Times New Roman"/>
          <w:sz w:val="24"/>
          <w:szCs w:val="24"/>
        </w:rPr>
        <w:t xml:space="preserve"> international law.</w:t>
      </w:r>
      <w:r w:rsidR="00EC7DFF" w:rsidRPr="0043224D">
        <w:rPr>
          <w:rStyle w:val="FootnoteReference"/>
          <w:rFonts w:ascii="Times New Roman" w:hAnsi="Times New Roman" w:cs="Times New Roman"/>
          <w:sz w:val="24"/>
          <w:szCs w:val="24"/>
        </w:rPr>
        <w:footnoteReference w:id="153"/>
      </w:r>
      <w:r w:rsidR="00E93A20" w:rsidRPr="0043224D">
        <w:rPr>
          <w:rFonts w:ascii="Times New Roman" w:hAnsi="Times New Roman" w:cs="Times New Roman"/>
          <w:sz w:val="24"/>
          <w:szCs w:val="24"/>
        </w:rPr>
        <w:t xml:space="preserve">  </w:t>
      </w:r>
      <w:r w:rsidR="00427059" w:rsidRPr="0043224D">
        <w:rPr>
          <w:rFonts w:ascii="Times New Roman" w:hAnsi="Times New Roman" w:cs="Times New Roman"/>
          <w:sz w:val="24"/>
          <w:szCs w:val="24"/>
        </w:rPr>
        <w:t>Principles 5 to 9 of the document engage</w:t>
      </w:r>
      <w:r w:rsidRPr="0043224D">
        <w:rPr>
          <w:rFonts w:ascii="Times New Roman" w:hAnsi="Times New Roman" w:cs="Times New Roman"/>
          <w:sz w:val="24"/>
          <w:szCs w:val="24"/>
        </w:rPr>
        <w:t xml:space="preserve"> with protection from displacement, the key focus of this thesis. Of particular interest </w:t>
      </w:r>
      <w:r w:rsidR="00052D05" w:rsidRPr="0043224D">
        <w:rPr>
          <w:rFonts w:ascii="Times New Roman" w:hAnsi="Times New Roman" w:cs="Times New Roman"/>
          <w:sz w:val="24"/>
          <w:szCs w:val="24"/>
        </w:rPr>
        <w:t>is</w:t>
      </w:r>
      <w:r w:rsidRPr="0043224D">
        <w:rPr>
          <w:rFonts w:ascii="Times New Roman" w:hAnsi="Times New Roman" w:cs="Times New Roman"/>
          <w:sz w:val="24"/>
          <w:szCs w:val="24"/>
        </w:rPr>
        <w:t xml:space="preserve"> </w:t>
      </w:r>
      <w:r w:rsidR="00D07523" w:rsidRPr="0043224D">
        <w:rPr>
          <w:rFonts w:ascii="Times New Roman" w:hAnsi="Times New Roman" w:cs="Times New Roman"/>
          <w:sz w:val="24"/>
          <w:szCs w:val="24"/>
        </w:rPr>
        <w:t>P</w:t>
      </w:r>
      <w:r w:rsidRPr="0043224D">
        <w:rPr>
          <w:rFonts w:ascii="Times New Roman" w:hAnsi="Times New Roman" w:cs="Times New Roman"/>
          <w:sz w:val="24"/>
          <w:szCs w:val="24"/>
        </w:rPr>
        <w:t>rinciple 6</w:t>
      </w:r>
      <w:r w:rsidR="002918E3" w:rsidRPr="0043224D">
        <w:rPr>
          <w:rFonts w:ascii="Times New Roman" w:hAnsi="Times New Roman" w:cs="Times New Roman"/>
          <w:sz w:val="24"/>
          <w:szCs w:val="24"/>
        </w:rPr>
        <w:t>, clause</w:t>
      </w:r>
      <w:r w:rsidRPr="0043224D">
        <w:rPr>
          <w:rFonts w:ascii="Times New Roman" w:hAnsi="Times New Roman" w:cs="Times New Roman"/>
          <w:sz w:val="24"/>
          <w:szCs w:val="24"/>
        </w:rPr>
        <w:t xml:space="preserve"> (2) (c)</w:t>
      </w:r>
      <w:r w:rsidR="002918E3" w:rsidRPr="0043224D">
        <w:rPr>
          <w:rFonts w:ascii="Times New Roman" w:hAnsi="Times New Roman" w:cs="Times New Roman"/>
          <w:sz w:val="24"/>
          <w:szCs w:val="24"/>
        </w:rPr>
        <w:t>,</w:t>
      </w:r>
      <w:r w:rsidRPr="0043224D">
        <w:rPr>
          <w:rFonts w:ascii="Times New Roman" w:hAnsi="Times New Roman" w:cs="Times New Roman"/>
          <w:sz w:val="24"/>
          <w:szCs w:val="24"/>
        </w:rPr>
        <w:t xml:space="preserve"> and</w:t>
      </w:r>
      <w:r w:rsidR="00D07523" w:rsidRPr="0043224D">
        <w:rPr>
          <w:rFonts w:ascii="Times New Roman" w:hAnsi="Times New Roman" w:cs="Times New Roman"/>
          <w:sz w:val="24"/>
          <w:szCs w:val="24"/>
        </w:rPr>
        <w:t xml:space="preserve"> Principle</w:t>
      </w:r>
      <w:r w:rsidRPr="0043224D">
        <w:rPr>
          <w:rFonts w:ascii="Times New Roman" w:hAnsi="Times New Roman" w:cs="Times New Roman"/>
          <w:sz w:val="24"/>
          <w:szCs w:val="24"/>
        </w:rPr>
        <w:t xml:space="preserve"> 9, both of which, read in conjunction, prohibit the arbitrary displacement, “</w:t>
      </w:r>
      <w:r w:rsidR="00052D05" w:rsidRPr="0043224D">
        <w:rPr>
          <w:rFonts w:ascii="Times New Roman" w:hAnsi="Times New Roman" w:cs="Times New Roman"/>
          <w:sz w:val="24"/>
          <w:szCs w:val="24"/>
        </w:rPr>
        <w:t>I</w:t>
      </w:r>
      <w:r w:rsidRPr="0043224D">
        <w:rPr>
          <w:rFonts w:ascii="Times New Roman" w:hAnsi="Times New Roman" w:cs="Times New Roman"/>
          <w:sz w:val="24"/>
          <w:szCs w:val="24"/>
        </w:rPr>
        <w:t>n cases of large scale development projects, which are not justified by compelling</w:t>
      </w:r>
      <w:r w:rsidR="003866F1" w:rsidRPr="0043224D">
        <w:rPr>
          <w:rFonts w:ascii="Times New Roman" w:hAnsi="Times New Roman" w:cs="Times New Roman"/>
          <w:sz w:val="24"/>
          <w:szCs w:val="24"/>
        </w:rPr>
        <w:t xml:space="preserve"> and overriding public interest</w:t>
      </w:r>
      <w:r w:rsidRPr="0043224D">
        <w:rPr>
          <w:rFonts w:ascii="Times New Roman" w:hAnsi="Times New Roman" w:cs="Times New Roman"/>
          <w:sz w:val="24"/>
          <w:szCs w:val="24"/>
        </w:rPr>
        <w:t>”</w:t>
      </w:r>
      <w:r w:rsidR="003866F1" w:rsidRPr="0043224D">
        <w:rPr>
          <w:rStyle w:val="FootnoteReference"/>
          <w:rFonts w:ascii="Times New Roman" w:hAnsi="Times New Roman" w:cs="Times New Roman"/>
          <w:sz w:val="24"/>
          <w:szCs w:val="24"/>
        </w:rPr>
        <w:footnoteReference w:id="154"/>
      </w:r>
      <w:r w:rsidRPr="0043224D">
        <w:rPr>
          <w:rFonts w:ascii="Times New Roman" w:hAnsi="Times New Roman" w:cs="Times New Roman"/>
          <w:sz w:val="24"/>
          <w:szCs w:val="24"/>
        </w:rPr>
        <w:t xml:space="preserve"> of indigenous peoples and pastoralists, and other minority groups, </w:t>
      </w:r>
      <w:r w:rsidR="00316515" w:rsidRPr="0043224D">
        <w:rPr>
          <w:rFonts w:ascii="Times New Roman" w:hAnsi="Times New Roman" w:cs="Times New Roman"/>
          <w:sz w:val="24"/>
          <w:szCs w:val="24"/>
        </w:rPr>
        <w:t>who have</w:t>
      </w:r>
      <w:r w:rsidRPr="0043224D">
        <w:rPr>
          <w:rFonts w:ascii="Times New Roman" w:hAnsi="Times New Roman" w:cs="Times New Roman"/>
          <w:sz w:val="24"/>
          <w:szCs w:val="24"/>
        </w:rPr>
        <w:t xml:space="preserve"> a, “special dependency on and attachment to their lands”.</w:t>
      </w:r>
      <w:r w:rsidR="003866F1" w:rsidRPr="0043224D">
        <w:rPr>
          <w:rStyle w:val="FootnoteReference"/>
          <w:rFonts w:ascii="Times New Roman" w:hAnsi="Times New Roman" w:cs="Times New Roman"/>
          <w:sz w:val="24"/>
          <w:szCs w:val="24"/>
        </w:rPr>
        <w:footnoteReference w:id="155"/>
      </w:r>
      <w:r w:rsidR="002B2D13" w:rsidRPr="0043224D">
        <w:rPr>
          <w:rFonts w:ascii="Times New Roman" w:hAnsi="Times New Roman" w:cs="Times New Roman"/>
          <w:sz w:val="24"/>
          <w:szCs w:val="24"/>
        </w:rPr>
        <w:t xml:space="preserve"> </w:t>
      </w:r>
      <w:r w:rsidR="000267BC" w:rsidRPr="0043224D">
        <w:rPr>
          <w:rFonts w:ascii="Times New Roman" w:hAnsi="Times New Roman" w:cs="Times New Roman"/>
          <w:sz w:val="24"/>
          <w:szCs w:val="24"/>
        </w:rPr>
        <w:t>Principles</w:t>
      </w:r>
      <w:r w:rsidR="00D07523" w:rsidRPr="0043224D">
        <w:rPr>
          <w:rFonts w:ascii="Times New Roman" w:hAnsi="Times New Roman" w:cs="Times New Roman"/>
          <w:sz w:val="24"/>
          <w:szCs w:val="24"/>
        </w:rPr>
        <w:t xml:space="preserve"> 6 and 9</w:t>
      </w:r>
      <w:r w:rsidR="002B2D13" w:rsidRPr="0043224D">
        <w:rPr>
          <w:rFonts w:ascii="Times New Roman" w:hAnsi="Times New Roman" w:cs="Times New Roman"/>
          <w:sz w:val="24"/>
          <w:szCs w:val="24"/>
        </w:rPr>
        <w:t xml:space="preserve"> therefore identify indigenous peoples and pastoralists as specific groups with specific needs precisely because of their social and cultural distinctiveness. The</w:t>
      </w:r>
      <w:r w:rsidR="00333774" w:rsidRPr="0043224D">
        <w:rPr>
          <w:rFonts w:ascii="Times New Roman" w:hAnsi="Times New Roman" w:cs="Times New Roman"/>
          <w:sz w:val="24"/>
          <w:szCs w:val="24"/>
        </w:rPr>
        <w:t xml:space="preserve"> Principles</w:t>
      </w:r>
      <w:r w:rsidR="000267BC" w:rsidRPr="0043224D">
        <w:rPr>
          <w:rFonts w:ascii="Times New Roman" w:hAnsi="Times New Roman" w:cs="Times New Roman"/>
          <w:sz w:val="24"/>
          <w:szCs w:val="24"/>
        </w:rPr>
        <w:t xml:space="preserve"> </w:t>
      </w:r>
      <w:r w:rsidR="00333774" w:rsidRPr="0043224D">
        <w:rPr>
          <w:rFonts w:ascii="Times New Roman" w:hAnsi="Times New Roman" w:cs="Times New Roman"/>
          <w:sz w:val="24"/>
          <w:szCs w:val="24"/>
        </w:rPr>
        <w:t>explicitly articulate</w:t>
      </w:r>
      <w:r w:rsidR="00052D05" w:rsidRPr="0043224D">
        <w:rPr>
          <w:rFonts w:ascii="Times New Roman" w:hAnsi="Times New Roman" w:cs="Times New Roman"/>
          <w:sz w:val="24"/>
          <w:szCs w:val="24"/>
        </w:rPr>
        <w:t>s</w:t>
      </w:r>
      <w:r w:rsidR="0029216E" w:rsidRPr="0043224D">
        <w:rPr>
          <w:rFonts w:ascii="Times New Roman" w:hAnsi="Times New Roman" w:cs="Times New Roman"/>
          <w:sz w:val="24"/>
          <w:szCs w:val="24"/>
        </w:rPr>
        <w:t xml:space="preserve">, if not </w:t>
      </w:r>
      <w:r w:rsidR="00052D05" w:rsidRPr="0043224D">
        <w:rPr>
          <w:rFonts w:ascii="Times New Roman" w:hAnsi="Times New Roman" w:cs="Times New Roman"/>
          <w:sz w:val="24"/>
          <w:szCs w:val="24"/>
        </w:rPr>
        <w:t>completely</w:t>
      </w:r>
      <w:r w:rsidR="0029216E" w:rsidRPr="0043224D">
        <w:rPr>
          <w:rFonts w:ascii="Times New Roman" w:hAnsi="Times New Roman" w:cs="Times New Roman"/>
          <w:sz w:val="24"/>
          <w:szCs w:val="24"/>
        </w:rPr>
        <w:t xml:space="preserve"> </w:t>
      </w:r>
      <w:r w:rsidR="004826B6" w:rsidRPr="0043224D">
        <w:rPr>
          <w:rFonts w:ascii="Times New Roman" w:hAnsi="Times New Roman" w:cs="Times New Roman"/>
          <w:sz w:val="24"/>
          <w:szCs w:val="24"/>
        </w:rPr>
        <w:t>clarify,</w:t>
      </w:r>
      <w:r w:rsidR="0029216E" w:rsidRPr="0043224D">
        <w:rPr>
          <w:rFonts w:ascii="Times New Roman" w:hAnsi="Times New Roman" w:cs="Times New Roman"/>
          <w:sz w:val="24"/>
          <w:szCs w:val="24"/>
        </w:rPr>
        <w:t xml:space="preserve"> the position of </w:t>
      </w:r>
      <w:r w:rsidR="00E53FD4" w:rsidRPr="0043224D">
        <w:rPr>
          <w:rFonts w:ascii="Times New Roman" w:hAnsi="Times New Roman" w:cs="Times New Roman"/>
          <w:sz w:val="24"/>
          <w:szCs w:val="24"/>
        </w:rPr>
        <w:t>indigenous peoples</w:t>
      </w:r>
      <w:r w:rsidR="0029216E" w:rsidRPr="0043224D">
        <w:rPr>
          <w:rFonts w:ascii="Times New Roman" w:hAnsi="Times New Roman" w:cs="Times New Roman"/>
          <w:sz w:val="24"/>
          <w:szCs w:val="24"/>
        </w:rPr>
        <w:t xml:space="preserve"> vis-à-vis displacement as a consequence of development </w:t>
      </w:r>
      <w:r w:rsidR="00316515" w:rsidRPr="0043224D">
        <w:rPr>
          <w:rFonts w:ascii="Times New Roman" w:hAnsi="Times New Roman" w:cs="Times New Roman"/>
          <w:sz w:val="24"/>
          <w:szCs w:val="24"/>
        </w:rPr>
        <w:t>projects. The</w:t>
      </w:r>
      <w:r w:rsidR="004826B6" w:rsidRPr="0043224D">
        <w:rPr>
          <w:rFonts w:ascii="Times New Roman" w:hAnsi="Times New Roman" w:cs="Times New Roman"/>
          <w:sz w:val="24"/>
          <w:szCs w:val="24"/>
        </w:rPr>
        <w:t xml:space="preserve"> </w:t>
      </w:r>
      <w:r w:rsidR="00052D05" w:rsidRPr="0043224D">
        <w:rPr>
          <w:rFonts w:ascii="Times New Roman" w:hAnsi="Times New Roman" w:cs="Times New Roman"/>
          <w:sz w:val="24"/>
          <w:szCs w:val="24"/>
        </w:rPr>
        <w:t>P</w:t>
      </w:r>
      <w:r w:rsidR="004826B6" w:rsidRPr="0043224D">
        <w:rPr>
          <w:rFonts w:ascii="Times New Roman" w:hAnsi="Times New Roman" w:cs="Times New Roman"/>
          <w:sz w:val="24"/>
          <w:szCs w:val="24"/>
        </w:rPr>
        <w:t>rinciples dr</w:t>
      </w:r>
      <w:r w:rsidR="00893BFD" w:rsidRPr="0043224D">
        <w:rPr>
          <w:rFonts w:ascii="Times New Roman" w:hAnsi="Times New Roman" w:cs="Times New Roman"/>
          <w:sz w:val="24"/>
          <w:szCs w:val="24"/>
        </w:rPr>
        <w:t>e</w:t>
      </w:r>
      <w:r w:rsidR="004826B6" w:rsidRPr="0043224D">
        <w:rPr>
          <w:rFonts w:ascii="Times New Roman" w:hAnsi="Times New Roman" w:cs="Times New Roman"/>
          <w:sz w:val="24"/>
          <w:szCs w:val="24"/>
        </w:rPr>
        <w:t>w inspiration and guidance from instruments on indigenous rights</w:t>
      </w:r>
      <w:r w:rsidR="00893BFD" w:rsidRPr="0043224D">
        <w:rPr>
          <w:rFonts w:ascii="Times New Roman" w:hAnsi="Times New Roman" w:cs="Times New Roman"/>
          <w:sz w:val="24"/>
          <w:szCs w:val="24"/>
        </w:rPr>
        <w:t xml:space="preserve"> regard</w:t>
      </w:r>
      <w:r w:rsidR="00F41E70" w:rsidRPr="0043224D">
        <w:rPr>
          <w:rFonts w:ascii="Times New Roman" w:hAnsi="Times New Roman" w:cs="Times New Roman"/>
          <w:sz w:val="24"/>
          <w:szCs w:val="24"/>
        </w:rPr>
        <w:t>ing displacement of populations</w:t>
      </w:r>
      <w:r w:rsidR="007C190B" w:rsidRPr="0043224D">
        <w:rPr>
          <w:rFonts w:ascii="Times New Roman" w:hAnsi="Times New Roman" w:cs="Times New Roman"/>
          <w:sz w:val="24"/>
          <w:szCs w:val="24"/>
        </w:rPr>
        <w:t>.</w:t>
      </w:r>
      <w:r w:rsidR="00893BFD" w:rsidRPr="0043224D">
        <w:rPr>
          <w:rStyle w:val="FootnoteReference"/>
          <w:rFonts w:ascii="Times New Roman" w:hAnsi="Times New Roman" w:cs="Times New Roman"/>
          <w:sz w:val="24"/>
          <w:szCs w:val="24"/>
        </w:rPr>
        <w:footnoteReference w:id="156"/>
      </w:r>
      <w:r w:rsidR="004826B6" w:rsidRPr="0043224D">
        <w:rPr>
          <w:rFonts w:ascii="Times New Roman" w:hAnsi="Times New Roman" w:cs="Times New Roman"/>
          <w:sz w:val="24"/>
          <w:szCs w:val="24"/>
        </w:rPr>
        <w:t xml:space="preserve"> </w:t>
      </w:r>
      <w:r w:rsidR="007C190B" w:rsidRPr="0043224D">
        <w:rPr>
          <w:rFonts w:ascii="Times New Roman" w:hAnsi="Times New Roman" w:cs="Times New Roman"/>
          <w:sz w:val="24"/>
          <w:szCs w:val="24"/>
        </w:rPr>
        <w:t>As</w:t>
      </w:r>
      <w:r w:rsidR="00EC7DFF" w:rsidRPr="0043224D">
        <w:rPr>
          <w:rFonts w:ascii="Times New Roman" w:hAnsi="Times New Roman" w:cs="Times New Roman"/>
          <w:sz w:val="24"/>
          <w:szCs w:val="24"/>
        </w:rPr>
        <w:t xml:space="preserve"> Walter Kälin has pointed out alluding to indigenous rights documents,</w:t>
      </w:r>
      <w:r w:rsidR="00893BFD" w:rsidRPr="0043224D">
        <w:rPr>
          <w:rFonts w:ascii="Times New Roman" w:hAnsi="Times New Roman" w:cs="Times New Roman"/>
          <w:sz w:val="24"/>
          <w:szCs w:val="24"/>
        </w:rPr>
        <w:t xml:space="preserve"> the right</w:t>
      </w:r>
      <w:r w:rsidR="00D07523" w:rsidRPr="0043224D">
        <w:rPr>
          <w:rFonts w:ascii="Times New Roman" w:hAnsi="Times New Roman" w:cs="Times New Roman"/>
          <w:sz w:val="24"/>
          <w:szCs w:val="24"/>
        </w:rPr>
        <w:t xml:space="preserve"> not to be displaced</w:t>
      </w:r>
      <w:r w:rsidR="00893BFD" w:rsidRPr="0043224D">
        <w:rPr>
          <w:rFonts w:ascii="Times New Roman" w:hAnsi="Times New Roman" w:cs="Times New Roman"/>
          <w:sz w:val="24"/>
          <w:szCs w:val="24"/>
        </w:rPr>
        <w:t xml:space="preserve"> was already implicit in international</w:t>
      </w:r>
      <w:r w:rsidR="00EC7DFF" w:rsidRPr="0043224D">
        <w:rPr>
          <w:rFonts w:ascii="Times New Roman" w:hAnsi="Times New Roman" w:cs="Times New Roman"/>
          <w:sz w:val="24"/>
          <w:szCs w:val="24"/>
        </w:rPr>
        <w:t xml:space="preserve"> law</w:t>
      </w:r>
      <w:r w:rsidR="00F41E70" w:rsidRPr="0043224D">
        <w:rPr>
          <w:rFonts w:ascii="Times New Roman" w:hAnsi="Times New Roman" w:cs="Times New Roman"/>
          <w:sz w:val="24"/>
          <w:szCs w:val="24"/>
        </w:rPr>
        <w:t>.</w:t>
      </w:r>
      <w:r w:rsidR="00893BFD" w:rsidRPr="0043224D">
        <w:rPr>
          <w:rStyle w:val="FootnoteReference"/>
          <w:rFonts w:ascii="Times New Roman" w:hAnsi="Times New Roman" w:cs="Times New Roman"/>
          <w:sz w:val="24"/>
          <w:szCs w:val="24"/>
        </w:rPr>
        <w:footnoteReference w:id="157"/>
      </w:r>
      <w:r w:rsidR="00852A74" w:rsidRPr="0043224D">
        <w:rPr>
          <w:rFonts w:ascii="Times New Roman" w:hAnsi="Times New Roman" w:cs="Times New Roman"/>
          <w:sz w:val="24"/>
          <w:szCs w:val="24"/>
        </w:rPr>
        <w:t xml:space="preserve"> </w:t>
      </w:r>
      <w:r w:rsidR="00D17B9C" w:rsidRPr="0043224D">
        <w:rPr>
          <w:rFonts w:ascii="Times New Roman" w:hAnsi="Times New Roman" w:cs="Times New Roman"/>
          <w:sz w:val="24"/>
          <w:szCs w:val="24"/>
        </w:rPr>
        <w:t xml:space="preserve"> </w:t>
      </w:r>
      <w:r w:rsidR="00052D05" w:rsidRPr="0043224D">
        <w:rPr>
          <w:rFonts w:ascii="Times New Roman" w:hAnsi="Times New Roman" w:cs="Times New Roman"/>
          <w:sz w:val="24"/>
          <w:szCs w:val="24"/>
        </w:rPr>
        <w:t xml:space="preserve"> </w:t>
      </w:r>
    </w:p>
    <w:p w:rsidR="00756CDD" w:rsidRPr="0043224D" w:rsidRDefault="007C190B"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It is of </w:t>
      </w:r>
      <w:r w:rsidR="00D17B9C" w:rsidRPr="0043224D">
        <w:rPr>
          <w:rFonts w:ascii="Times New Roman" w:hAnsi="Times New Roman" w:cs="Times New Roman"/>
          <w:sz w:val="24"/>
          <w:szCs w:val="24"/>
        </w:rPr>
        <w:t>particular int</w:t>
      </w:r>
      <w:r w:rsidR="00B3508B" w:rsidRPr="0043224D">
        <w:rPr>
          <w:rFonts w:ascii="Times New Roman" w:hAnsi="Times New Roman" w:cs="Times New Roman"/>
          <w:sz w:val="24"/>
          <w:szCs w:val="24"/>
        </w:rPr>
        <w:t>ere</w:t>
      </w:r>
      <w:r w:rsidRPr="0043224D">
        <w:rPr>
          <w:rFonts w:ascii="Times New Roman" w:hAnsi="Times New Roman" w:cs="Times New Roman"/>
          <w:sz w:val="24"/>
          <w:szCs w:val="24"/>
        </w:rPr>
        <w:t>st to note</w:t>
      </w:r>
      <w:r w:rsidR="00B3508B" w:rsidRPr="0043224D">
        <w:rPr>
          <w:rFonts w:ascii="Times New Roman" w:hAnsi="Times New Roman" w:cs="Times New Roman"/>
          <w:sz w:val="24"/>
          <w:szCs w:val="24"/>
        </w:rPr>
        <w:t xml:space="preserve"> that</w:t>
      </w:r>
      <w:r w:rsidR="00396A62" w:rsidRPr="0043224D">
        <w:rPr>
          <w:rFonts w:ascii="Times New Roman" w:hAnsi="Times New Roman" w:cs="Times New Roman"/>
          <w:sz w:val="24"/>
          <w:szCs w:val="24"/>
        </w:rPr>
        <w:t xml:space="preserve"> in</w:t>
      </w:r>
      <w:r w:rsidR="00852A74" w:rsidRPr="0043224D">
        <w:rPr>
          <w:rFonts w:ascii="Times New Roman" w:hAnsi="Times New Roman" w:cs="Times New Roman"/>
          <w:sz w:val="24"/>
          <w:szCs w:val="24"/>
        </w:rPr>
        <w:t xml:space="preserve"> </w:t>
      </w:r>
      <w:r w:rsidR="00B3508B" w:rsidRPr="0043224D">
        <w:rPr>
          <w:rFonts w:ascii="Times New Roman" w:hAnsi="Times New Roman" w:cs="Times New Roman"/>
          <w:sz w:val="24"/>
          <w:szCs w:val="24"/>
        </w:rPr>
        <w:t>2010, in</w:t>
      </w:r>
      <w:r w:rsidR="00852A74" w:rsidRPr="0043224D">
        <w:rPr>
          <w:rFonts w:ascii="Times New Roman" w:hAnsi="Times New Roman" w:cs="Times New Roman"/>
          <w:sz w:val="24"/>
          <w:szCs w:val="24"/>
        </w:rPr>
        <w:t xml:space="preserve"> his capacity as Representative of the Secretary-General on the Human Rights of Internally Displaced Persons</w:t>
      </w:r>
      <w:r w:rsidR="00396A62" w:rsidRPr="0043224D">
        <w:rPr>
          <w:rFonts w:ascii="Times New Roman" w:hAnsi="Times New Roman" w:cs="Times New Roman"/>
          <w:sz w:val="24"/>
          <w:szCs w:val="24"/>
        </w:rPr>
        <w:t xml:space="preserve"> reporting to the UN Human Rights Council</w:t>
      </w:r>
      <w:r w:rsidR="00852A74" w:rsidRPr="0043224D">
        <w:rPr>
          <w:rFonts w:ascii="Times New Roman" w:hAnsi="Times New Roman" w:cs="Times New Roman"/>
          <w:sz w:val="24"/>
          <w:szCs w:val="24"/>
        </w:rPr>
        <w:t xml:space="preserve">, Kälin </w:t>
      </w:r>
      <w:r w:rsidR="00D17B9C" w:rsidRPr="0043224D">
        <w:rPr>
          <w:rFonts w:ascii="Times New Roman" w:hAnsi="Times New Roman" w:cs="Times New Roman"/>
          <w:sz w:val="24"/>
          <w:szCs w:val="24"/>
        </w:rPr>
        <w:t xml:space="preserve">stated </w:t>
      </w:r>
      <w:r w:rsidR="00852A74" w:rsidRPr="0043224D">
        <w:rPr>
          <w:rFonts w:ascii="Times New Roman" w:hAnsi="Times New Roman" w:cs="Times New Roman"/>
          <w:sz w:val="24"/>
          <w:szCs w:val="24"/>
        </w:rPr>
        <w:t>that there is a misconception in relation to the</w:t>
      </w:r>
      <w:r w:rsidR="00B5296D" w:rsidRPr="0043224D">
        <w:rPr>
          <w:rFonts w:ascii="Times New Roman" w:hAnsi="Times New Roman" w:cs="Times New Roman"/>
          <w:sz w:val="24"/>
          <w:szCs w:val="24"/>
        </w:rPr>
        <w:t xml:space="preserve"> principal</w:t>
      </w:r>
      <w:r w:rsidR="00852A74" w:rsidRPr="0043224D">
        <w:rPr>
          <w:rFonts w:ascii="Times New Roman" w:hAnsi="Times New Roman" w:cs="Times New Roman"/>
          <w:sz w:val="24"/>
          <w:szCs w:val="24"/>
        </w:rPr>
        <w:t xml:space="preserve"> causes of displacement, a misconception fostered </w:t>
      </w:r>
      <w:r w:rsidR="00D17B9C" w:rsidRPr="0043224D">
        <w:rPr>
          <w:rFonts w:ascii="Times New Roman" w:hAnsi="Times New Roman" w:cs="Times New Roman"/>
          <w:sz w:val="24"/>
          <w:szCs w:val="24"/>
        </w:rPr>
        <w:t xml:space="preserve">he </w:t>
      </w:r>
      <w:r w:rsidR="00816738" w:rsidRPr="0043224D">
        <w:rPr>
          <w:rFonts w:ascii="Times New Roman" w:hAnsi="Times New Roman" w:cs="Times New Roman"/>
          <w:sz w:val="24"/>
          <w:szCs w:val="24"/>
        </w:rPr>
        <w:t>observes</w:t>
      </w:r>
      <w:r w:rsidR="00D17B9C" w:rsidRPr="0043224D">
        <w:rPr>
          <w:rFonts w:ascii="Times New Roman" w:hAnsi="Times New Roman" w:cs="Times New Roman"/>
          <w:sz w:val="24"/>
          <w:szCs w:val="24"/>
        </w:rPr>
        <w:t xml:space="preserve"> </w:t>
      </w:r>
      <w:r w:rsidR="00852A74" w:rsidRPr="0043224D">
        <w:rPr>
          <w:rFonts w:ascii="Times New Roman" w:hAnsi="Times New Roman" w:cs="Times New Roman"/>
          <w:sz w:val="24"/>
          <w:szCs w:val="24"/>
        </w:rPr>
        <w:t>by stereotypical</w:t>
      </w:r>
      <w:r w:rsidR="00D17B9C" w:rsidRPr="0043224D">
        <w:rPr>
          <w:rFonts w:ascii="Times New Roman" w:hAnsi="Times New Roman" w:cs="Times New Roman"/>
          <w:sz w:val="24"/>
          <w:szCs w:val="24"/>
        </w:rPr>
        <w:t xml:space="preserve"> media</w:t>
      </w:r>
      <w:r w:rsidR="00852A74" w:rsidRPr="0043224D">
        <w:rPr>
          <w:rFonts w:ascii="Times New Roman" w:hAnsi="Times New Roman" w:cs="Times New Roman"/>
          <w:sz w:val="24"/>
          <w:szCs w:val="24"/>
        </w:rPr>
        <w:t xml:space="preserve"> representations of </w:t>
      </w:r>
      <w:r w:rsidR="00D17B9C" w:rsidRPr="0043224D">
        <w:rPr>
          <w:rFonts w:ascii="Times New Roman" w:hAnsi="Times New Roman" w:cs="Times New Roman"/>
          <w:sz w:val="24"/>
          <w:szCs w:val="24"/>
        </w:rPr>
        <w:t>conflict-induced displacees in particular. The</w:t>
      </w:r>
      <w:r w:rsidR="00396A62" w:rsidRPr="0043224D">
        <w:rPr>
          <w:rFonts w:ascii="Times New Roman" w:hAnsi="Times New Roman" w:cs="Times New Roman"/>
          <w:sz w:val="24"/>
          <w:szCs w:val="24"/>
        </w:rPr>
        <w:t xml:space="preserve"> somewhat prosaic</w:t>
      </w:r>
      <w:r w:rsidR="00D17B9C" w:rsidRPr="0043224D">
        <w:rPr>
          <w:rFonts w:ascii="Times New Roman" w:hAnsi="Times New Roman" w:cs="Times New Roman"/>
          <w:sz w:val="24"/>
          <w:szCs w:val="24"/>
        </w:rPr>
        <w:t xml:space="preserve"> reality</w:t>
      </w:r>
      <w:r w:rsidR="00673C52" w:rsidRPr="0043224D">
        <w:rPr>
          <w:rFonts w:ascii="Times New Roman" w:hAnsi="Times New Roman" w:cs="Times New Roman"/>
          <w:sz w:val="24"/>
          <w:szCs w:val="24"/>
        </w:rPr>
        <w:t xml:space="preserve"> however</w:t>
      </w:r>
      <w:r w:rsidR="00396A62" w:rsidRPr="0043224D">
        <w:rPr>
          <w:rFonts w:ascii="Times New Roman" w:hAnsi="Times New Roman" w:cs="Times New Roman"/>
          <w:sz w:val="24"/>
          <w:szCs w:val="24"/>
        </w:rPr>
        <w:t>,</w:t>
      </w:r>
      <w:r w:rsidR="001C02EE" w:rsidRPr="0043224D">
        <w:rPr>
          <w:rFonts w:ascii="Times New Roman" w:hAnsi="Times New Roman" w:cs="Times New Roman"/>
          <w:sz w:val="24"/>
          <w:szCs w:val="24"/>
        </w:rPr>
        <w:t xml:space="preserve"> at least</w:t>
      </w:r>
      <w:r w:rsidR="00396A62" w:rsidRPr="0043224D">
        <w:rPr>
          <w:rFonts w:ascii="Times New Roman" w:hAnsi="Times New Roman" w:cs="Times New Roman"/>
          <w:sz w:val="24"/>
          <w:szCs w:val="24"/>
        </w:rPr>
        <w:t xml:space="preserve"> in relative terms</w:t>
      </w:r>
      <w:r w:rsidR="00673C52" w:rsidRPr="0043224D">
        <w:rPr>
          <w:rFonts w:ascii="Times New Roman" w:hAnsi="Times New Roman" w:cs="Times New Roman"/>
          <w:sz w:val="24"/>
          <w:szCs w:val="24"/>
        </w:rPr>
        <w:t>, is</w:t>
      </w:r>
      <w:r w:rsidR="001C02EE" w:rsidRPr="0043224D">
        <w:rPr>
          <w:rFonts w:ascii="Times New Roman" w:hAnsi="Times New Roman" w:cs="Times New Roman"/>
          <w:sz w:val="24"/>
          <w:szCs w:val="24"/>
        </w:rPr>
        <w:t>,</w:t>
      </w:r>
      <w:r w:rsidR="00396A62" w:rsidRPr="0043224D">
        <w:rPr>
          <w:rFonts w:ascii="Times New Roman" w:hAnsi="Times New Roman" w:cs="Times New Roman"/>
          <w:sz w:val="24"/>
          <w:szCs w:val="24"/>
        </w:rPr>
        <w:t xml:space="preserve"> </w:t>
      </w:r>
      <w:r w:rsidR="001C02EE" w:rsidRPr="0043224D">
        <w:rPr>
          <w:rFonts w:ascii="Times New Roman" w:hAnsi="Times New Roman" w:cs="Times New Roman"/>
          <w:sz w:val="24"/>
          <w:szCs w:val="24"/>
        </w:rPr>
        <w:t>he ar</w:t>
      </w:r>
      <w:r w:rsidR="00673C52" w:rsidRPr="0043224D">
        <w:rPr>
          <w:rFonts w:ascii="Times New Roman" w:hAnsi="Times New Roman" w:cs="Times New Roman"/>
          <w:sz w:val="24"/>
          <w:szCs w:val="24"/>
        </w:rPr>
        <w:t>gues</w:t>
      </w:r>
      <w:r w:rsidR="001C02EE" w:rsidRPr="0043224D">
        <w:rPr>
          <w:rFonts w:ascii="Times New Roman" w:hAnsi="Times New Roman" w:cs="Times New Roman"/>
          <w:sz w:val="24"/>
          <w:szCs w:val="24"/>
        </w:rPr>
        <w:t xml:space="preserve">, </w:t>
      </w:r>
      <w:r w:rsidR="00091A39" w:rsidRPr="0043224D">
        <w:rPr>
          <w:rFonts w:ascii="Times New Roman" w:hAnsi="Times New Roman" w:cs="Times New Roman"/>
          <w:sz w:val="24"/>
          <w:szCs w:val="24"/>
        </w:rPr>
        <w:t xml:space="preserve">very </w:t>
      </w:r>
      <w:r w:rsidR="001C02EE" w:rsidRPr="0043224D">
        <w:rPr>
          <w:rFonts w:ascii="Times New Roman" w:hAnsi="Times New Roman" w:cs="Times New Roman"/>
          <w:sz w:val="24"/>
          <w:szCs w:val="24"/>
        </w:rPr>
        <w:t>different</w:t>
      </w:r>
      <w:r w:rsidR="00396A62" w:rsidRPr="0043224D">
        <w:rPr>
          <w:rFonts w:ascii="Times New Roman" w:hAnsi="Times New Roman" w:cs="Times New Roman"/>
          <w:sz w:val="24"/>
          <w:szCs w:val="24"/>
        </w:rPr>
        <w:t>:</w:t>
      </w:r>
      <w:r w:rsidR="00D17B9C" w:rsidRPr="0043224D">
        <w:rPr>
          <w:rFonts w:ascii="Times New Roman" w:hAnsi="Times New Roman" w:cs="Times New Roman"/>
          <w:sz w:val="24"/>
          <w:szCs w:val="24"/>
        </w:rPr>
        <w:t xml:space="preserve"> </w:t>
      </w:r>
      <w:r w:rsidR="00396A62" w:rsidRPr="0043224D">
        <w:rPr>
          <w:rFonts w:ascii="Times New Roman" w:hAnsi="Times New Roman" w:cs="Times New Roman"/>
          <w:sz w:val="24"/>
          <w:szCs w:val="24"/>
        </w:rPr>
        <w:t>every year there</w:t>
      </w:r>
      <w:r w:rsidR="00D17B9C" w:rsidRPr="0043224D">
        <w:rPr>
          <w:rFonts w:ascii="Times New Roman" w:hAnsi="Times New Roman" w:cs="Times New Roman"/>
          <w:sz w:val="24"/>
          <w:szCs w:val="24"/>
        </w:rPr>
        <w:t xml:space="preserve"> are many more displaced by natural disasters and development projects</w:t>
      </w:r>
      <w:r w:rsidR="00396A62" w:rsidRPr="0043224D">
        <w:rPr>
          <w:rFonts w:ascii="Times New Roman" w:hAnsi="Times New Roman" w:cs="Times New Roman"/>
          <w:sz w:val="24"/>
          <w:szCs w:val="24"/>
        </w:rPr>
        <w:t xml:space="preserve"> than there are by other factors</w:t>
      </w:r>
      <w:r w:rsidR="00D17B9C" w:rsidRPr="0043224D">
        <w:rPr>
          <w:rFonts w:ascii="Times New Roman" w:hAnsi="Times New Roman" w:cs="Times New Roman"/>
          <w:sz w:val="24"/>
          <w:szCs w:val="24"/>
        </w:rPr>
        <w:t>.</w:t>
      </w:r>
      <w:r w:rsidR="00396A62" w:rsidRPr="0043224D">
        <w:rPr>
          <w:rStyle w:val="FootnoteReference"/>
          <w:rFonts w:ascii="Times New Roman" w:hAnsi="Times New Roman" w:cs="Times New Roman"/>
          <w:sz w:val="24"/>
          <w:szCs w:val="24"/>
        </w:rPr>
        <w:footnoteReference w:id="158"/>
      </w:r>
      <w:r w:rsidR="00D17B9C" w:rsidRPr="0043224D">
        <w:rPr>
          <w:rFonts w:ascii="Times New Roman" w:hAnsi="Times New Roman" w:cs="Times New Roman"/>
          <w:sz w:val="24"/>
          <w:szCs w:val="24"/>
        </w:rPr>
        <w:t xml:space="preserve"> This is </w:t>
      </w:r>
      <w:r w:rsidR="008215AB" w:rsidRPr="0043224D">
        <w:rPr>
          <w:rFonts w:ascii="Times New Roman" w:hAnsi="Times New Roman" w:cs="Times New Roman"/>
          <w:sz w:val="24"/>
          <w:szCs w:val="24"/>
        </w:rPr>
        <w:t>a</w:t>
      </w:r>
      <w:r w:rsidR="00D17B9C" w:rsidRPr="0043224D">
        <w:rPr>
          <w:rFonts w:ascii="Times New Roman" w:hAnsi="Times New Roman" w:cs="Times New Roman"/>
          <w:sz w:val="24"/>
          <w:szCs w:val="24"/>
        </w:rPr>
        <w:t xml:space="preserve"> </w:t>
      </w:r>
      <w:r w:rsidR="008215AB" w:rsidRPr="0043224D">
        <w:rPr>
          <w:rFonts w:ascii="Times New Roman" w:hAnsi="Times New Roman" w:cs="Times New Roman"/>
          <w:sz w:val="24"/>
          <w:szCs w:val="24"/>
        </w:rPr>
        <w:t xml:space="preserve">noteworthy </w:t>
      </w:r>
      <w:r w:rsidR="00D17B9C" w:rsidRPr="0043224D">
        <w:rPr>
          <w:rFonts w:ascii="Times New Roman" w:hAnsi="Times New Roman" w:cs="Times New Roman"/>
          <w:sz w:val="24"/>
          <w:szCs w:val="24"/>
        </w:rPr>
        <w:t>and perceptive observation by Kälin.</w:t>
      </w:r>
      <w:r w:rsidR="00396A62" w:rsidRPr="0043224D">
        <w:rPr>
          <w:rFonts w:ascii="Times New Roman" w:hAnsi="Times New Roman" w:cs="Times New Roman"/>
          <w:sz w:val="24"/>
          <w:szCs w:val="24"/>
        </w:rPr>
        <w:t xml:space="preserve"> </w:t>
      </w:r>
      <w:r w:rsidR="00052D05" w:rsidRPr="0043224D">
        <w:rPr>
          <w:rFonts w:ascii="Times New Roman" w:hAnsi="Times New Roman" w:cs="Times New Roman"/>
          <w:sz w:val="24"/>
          <w:szCs w:val="24"/>
        </w:rPr>
        <w:t>Additionally, t</w:t>
      </w:r>
      <w:r w:rsidR="00396A62" w:rsidRPr="0043224D">
        <w:rPr>
          <w:rFonts w:ascii="Times New Roman" w:hAnsi="Times New Roman" w:cs="Times New Roman"/>
          <w:sz w:val="24"/>
          <w:szCs w:val="24"/>
        </w:rPr>
        <w:t xml:space="preserve">he Internal Displacement Monitoring Centre, the leading international body monitoring displacement, </w:t>
      </w:r>
      <w:r w:rsidR="00673C52" w:rsidRPr="0043224D">
        <w:rPr>
          <w:rFonts w:ascii="Times New Roman" w:hAnsi="Times New Roman" w:cs="Times New Roman"/>
          <w:sz w:val="24"/>
          <w:szCs w:val="24"/>
        </w:rPr>
        <w:t>premises its global figures on internal displacement as caused by conflict, generalised violence, human rights violations, and natural hazard-induced disasters, displacement induced by development is excluded.</w:t>
      </w:r>
      <w:r w:rsidR="00673C52" w:rsidRPr="0043224D">
        <w:rPr>
          <w:rStyle w:val="FootnoteReference"/>
          <w:rFonts w:ascii="Times New Roman" w:hAnsi="Times New Roman" w:cs="Times New Roman"/>
          <w:sz w:val="24"/>
          <w:szCs w:val="24"/>
        </w:rPr>
        <w:footnoteReference w:id="159"/>
      </w:r>
      <w:r w:rsidR="00673C52" w:rsidRPr="0043224D">
        <w:rPr>
          <w:rFonts w:ascii="Times New Roman" w:hAnsi="Times New Roman" w:cs="Times New Roman"/>
          <w:sz w:val="24"/>
          <w:szCs w:val="24"/>
        </w:rPr>
        <w:t xml:space="preserve"> </w:t>
      </w:r>
    </w:p>
    <w:p w:rsidR="00B5296D" w:rsidRPr="0043224D" w:rsidRDefault="00052D05"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 reason</w:t>
      </w:r>
      <w:r w:rsidR="008215AB" w:rsidRPr="0043224D">
        <w:rPr>
          <w:rFonts w:ascii="Times New Roman" w:hAnsi="Times New Roman" w:cs="Times New Roman"/>
          <w:sz w:val="24"/>
          <w:szCs w:val="24"/>
        </w:rPr>
        <w:t xml:space="preserve"> for such pointed exclusion of so many internal </w:t>
      </w:r>
      <w:r w:rsidR="00B5296D" w:rsidRPr="0043224D">
        <w:rPr>
          <w:rFonts w:ascii="Times New Roman" w:hAnsi="Times New Roman" w:cs="Times New Roman"/>
          <w:sz w:val="24"/>
          <w:szCs w:val="24"/>
        </w:rPr>
        <w:t>displace</w:t>
      </w:r>
      <w:r w:rsidRPr="0043224D">
        <w:rPr>
          <w:rFonts w:ascii="Times New Roman" w:hAnsi="Times New Roman" w:cs="Times New Roman"/>
          <w:sz w:val="24"/>
          <w:szCs w:val="24"/>
        </w:rPr>
        <w:t>e</w:t>
      </w:r>
      <w:r w:rsidR="00B5296D" w:rsidRPr="0043224D">
        <w:rPr>
          <w:rFonts w:ascii="Times New Roman" w:hAnsi="Times New Roman" w:cs="Times New Roman"/>
          <w:sz w:val="24"/>
          <w:szCs w:val="24"/>
        </w:rPr>
        <w:t>s</w:t>
      </w:r>
      <w:r w:rsidR="008215AB" w:rsidRPr="0043224D">
        <w:rPr>
          <w:rFonts w:ascii="Times New Roman" w:hAnsi="Times New Roman" w:cs="Times New Roman"/>
          <w:sz w:val="24"/>
          <w:szCs w:val="24"/>
        </w:rPr>
        <w:t xml:space="preserve"> </w:t>
      </w:r>
      <w:r w:rsidRPr="0043224D">
        <w:rPr>
          <w:rFonts w:ascii="Times New Roman" w:hAnsi="Times New Roman" w:cs="Times New Roman"/>
          <w:sz w:val="24"/>
          <w:szCs w:val="24"/>
        </w:rPr>
        <w:t>is</w:t>
      </w:r>
      <w:r w:rsidR="008215AB" w:rsidRPr="0043224D">
        <w:rPr>
          <w:rFonts w:ascii="Times New Roman" w:hAnsi="Times New Roman" w:cs="Times New Roman"/>
          <w:sz w:val="24"/>
          <w:szCs w:val="24"/>
        </w:rPr>
        <w:t xml:space="preserve"> not obviously apparent, especially, as stated by Kälin, when the figures for development displacement are so high.</w:t>
      </w:r>
      <w:r w:rsidR="00B5296D" w:rsidRPr="0043224D">
        <w:rPr>
          <w:rFonts w:ascii="Times New Roman" w:hAnsi="Times New Roman" w:cs="Times New Roman"/>
          <w:sz w:val="24"/>
          <w:szCs w:val="24"/>
        </w:rPr>
        <w:t xml:space="preserve"> </w:t>
      </w:r>
      <w:r w:rsidR="008215AB" w:rsidRPr="0043224D">
        <w:rPr>
          <w:rFonts w:ascii="Times New Roman" w:hAnsi="Times New Roman" w:cs="Times New Roman"/>
          <w:sz w:val="24"/>
          <w:szCs w:val="24"/>
        </w:rPr>
        <w:t xml:space="preserve"> Whatever the reasons, it </w:t>
      </w:r>
      <w:r w:rsidR="00816738" w:rsidRPr="0043224D">
        <w:rPr>
          <w:rFonts w:ascii="Times New Roman" w:hAnsi="Times New Roman" w:cs="Times New Roman"/>
          <w:sz w:val="24"/>
          <w:szCs w:val="24"/>
        </w:rPr>
        <w:t>is surely noteworthy and somewhat puzzling</w:t>
      </w:r>
      <w:r w:rsidRPr="0043224D">
        <w:rPr>
          <w:rFonts w:ascii="Times New Roman" w:hAnsi="Times New Roman" w:cs="Times New Roman"/>
          <w:sz w:val="24"/>
          <w:szCs w:val="24"/>
        </w:rPr>
        <w:t xml:space="preserve"> omission</w:t>
      </w:r>
      <w:r w:rsidR="008215AB" w:rsidRPr="0043224D">
        <w:rPr>
          <w:rFonts w:ascii="Times New Roman" w:hAnsi="Times New Roman" w:cs="Times New Roman"/>
          <w:sz w:val="24"/>
          <w:szCs w:val="24"/>
        </w:rPr>
        <w:t xml:space="preserve">. </w:t>
      </w:r>
      <w:r w:rsidR="00B5296D" w:rsidRPr="0043224D">
        <w:rPr>
          <w:rFonts w:ascii="Times New Roman" w:hAnsi="Times New Roman" w:cs="Times New Roman"/>
          <w:sz w:val="24"/>
          <w:szCs w:val="24"/>
        </w:rPr>
        <w:t>The exclusion is all the more remarkable when, according to Forced Migration Online, development-induced displacement accounted for as many as 100 million in the 1990s alone</w:t>
      </w:r>
      <w:r w:rsidR="00FB55EC" w:rsidRPr="0043224D">
        <w:rPr>
          <w:rFonts w:ascii="Times New Roman" w:hAnsi="Times New Roman" w:cs="Times New Roman"/>
          <w:sz w:val="24"/>
          <w:szCs w:val="24"/>
        </w:rPr>
        <w:t>, affecting indigenous and ethnic minorities in particular</w:t>
      </w:r>
      <w:r w:rsidR="00B5296D" w:rsidRPr="0043224D">
        <w:rPr>
          <w:rFonts w:ascii="Times New Roman" w:hAnsi="Times New Roman" w:cs="Times New Roman"/>
          <w:sz w:val="24"/>
          <w:szCs w:val="24"/>
        </w:rPr>
        <w:t>.</w:t>
      </w:r>
      <w:r w:rsidR="00B5296D" w:rsidRPr="0043224D">
        <w:rPr>
          <w:rStyle w:val="FootnoteReference"/>
          <w:rFonts w:ascii="Times New Roman" w:hAnsi="Times New Roman" w:cs="Times New Roman"/>
          <w:sz w:val="24"/>
          <w:szCs w:val="24"/>
        </w:rPr>
        <w:footnoteReference w:id="160"/>
      </w:r>
      <w:r w:rsidR="00B5296D" w:rsidRPr="0043224D">
        <w:rPr>
          <w:rFonts w:ascii="Times New Roman" w:hAnsi="Times New Roman" w:cs="Times New Roman"/>
          <w:sz w:val="24"/>
          <w:szCs w:val="24"/>
        </w:rPr>
        <w:t xml:space="preserve"> A figure corroborated by W. Courtland Robinson</w:t>
      </w:r>
      <w:r w:rsidR="00767322" w:rsidRPr="0043224D">
        <w:rPr>
          <w:rFonts w:ascii="Times New Roman" w:hAnsi="Times New Roman" w:cs="Times New Roman"/>
          <w:sz w:val="24"/>
          <w:szCs w:val="24"/>
        </w:rPr>
        <w:t xml:space="preserve"> in 2004</w:t>
      </w:r>
      <w:r w:rsidR="00FB55EC" w:rsidRPr="0043224D">
        <w:rPr>
          <w:rFonts w:ascii="Times New Roman" w:hAnsi="Times New Roman" w:cs="Times New Roman"/>
          <w:sz w:val="24"/>
          <w:szCs w:val="24"/>
        </w:rPr>
        <w:t xml:space="preserve"> with figures sourced from the World Bank.</w:t>
      </w:r>
      <w:r w:rsidR="00FB55EC" w:rsidRPr="0043224D">
        <w:rPr>
          <w:rStyle w:val="FootnoteReference"/>
          <w:rFonts w:ascii="Times New Roman" w:hAnsi="Times New Roman" w:cs="Times New Roman"/>
          <w:sz w:val="24"/>
          <w:szCs w:val="24"/>
        </w:rPr>
        <w:footnoteReference w:id="161"/>
      </w:r>
      <w:r w:rsidR="00FB55EC" w:rsidRPr="0043224D">
        <w:rPr>
          <w:rFonts w:ascii="Times New Roman" w:hAnsi="Times New Roman" w:cs="Times New Roman"/>
          <w:sz w:val="24"/>
          <w:szCs w:val="24"/>
        </w:rPr>
        <w:t xml:space="preserve"> There is little reason to believe that the figures have decreased since, indeed given the pace of development in China and India alone it is reasonable to presume that the figures have risen exponentially.</w:t>
      </w:r>
      <w:r w:rsidR="00BD4535" w:rsidRPr="0043224D">
        <w:rPr>
          <w:rStyle w:val="FootnoteReference"/>
          <w:rFonts w:ascii="Times New Roman" w:hAnsi="Times New Roman" w:cs="Times New Roman"/>
          <w:sz w:val="24"/>
          <w:szCs w:val="24"/>
        </w:rPr>
        <w:footnoteReference w:id="162"/>
      </w:r>
      <w:r w:rsidR="00FB55EC" w:rsidRPr="0043224D">
        <w:rPr>
          <w:rFonts w:ascii="Times New Roman" w:hAnsi="Times New Roman" w:cs="Times New Roman"/>
          <w:sz w:val="24"/>
          <w:szCs w:val="24"/>
        </w:rPr>
        <w:t xml:space="preserve"> </w:t>
      </w:r>
      <w:r w:rsidR="005F5C84" w:rsidRPr="0043224D">
        <w:rPr>
          <w:rFonts w:ascii="Times New Roman" w:hAnsi="Times New Roman" w:cs="Times New Roman"/>
          <w:sz w:val="24"/>
          <w:szCs w:val="24"/>
        </w:rPr>
        <w:t xml:space="preserve">Unfortunately, global or national disaggregated figures </w:t>
      </w:r>
      <w:r w:rsidR="00DB07D6" w:rsidRPr="0043224D">
        <w:rPr>
          <w:rFonts w:ascii="Times New Roman" w:hAnsi="Times New Roman" w:cs="Times New Roman"/>
          <w:sz w:val="24"/>
          <w:szCs w:val="24"/>
        </w:rPr>
        <w:t>disaggregating</w:t>
      </w:r>
      <w:r w:rsidR="005F5C84" w:rsidRPr="0043224D">
        <w:rPr>
          <w:rFonts w:ascii="Times New Roman" w:hAnsi="Times New Roman" w:cs="Times New Roman"/>
          <w:sz w:val="24"/>
          <w:szCs w:val="24"/>
        </w:rPr>
        <w:t xml:space="preserve"> which groups are being displaced as a consequence of development are not readily available, an official omission that may not be unrelated to the highly contentious and </w:t>
      </w:r>
      <w:r w:rsidR="00ED6F51" w:rsidRPr="0043224D">
        <w:rPr>
          <w:rFonts w:ascii="Times New Roman" w:hAnsi="Times New Roman" w:cs="Times New Roman"/>
          <w:sz w:val="24"/>
          <w:szCs w:val="24"/>
        </w:rPr>
        <w:t xml:space="preserve">intrinsically </w:t>
      </w:r>
      <w:r w:rsidR="005F5C84" w:rsidRPr="0043224D">
        <w:rPr>
          <w:rFonts w:ascii="Times New Roman" w:hAnsi="Times New Roman" w:cs="Times New Roman"/>
          <w:sz w:val="24"/>
          <w:szCs w:val="24"/>
        </w:rPr>
        <w:t>political nature of development-induced displacement as it relates to the economic imperatives of government policy.</w:t>
      </w:r>
    </w:p>
    <w:p w:rsidR="004826B6" w:rsidRPr="0043224D" w:rsidRDefault="005F5C84" w:rsidP="0043224D">
      <w:pPr>
        <w:spacing w:line="360" w:lineRule="auto"/>
        <w:rPr>
          <w:rFonts w:ascii="Times New Roman" w:hAnsi="Times New Roman" w:cs="Times New Roman"/>
          <w:i/>
          <w:sz w:val="24"/>
          <w:szCs w:val="24"/>
        </w:rPr>
      </w:pPr>
      <w:r w:rsidRPr="0043224D">
        <w:rPr>
          <w:rFonts w:ascii="Times New Roman" w:hAnsi="Times New Roman" w:cs="Times New Roman"/>
          <w:sz w:val="24"/>
          <w:szCs w:val="24"/>
        </w:rPr>
        <w:t>Yet</w:t>
      </w:r>
      <w:r w:rsidR="00ED6F51" w:rsidRPr="0043224D">
        <w:rPr>
          <w:rFonts w:ascii="Times New Roman" w:hAnsi="Times New Roman" w:cs="Times New Roman"/>
          <w:sz w:val="24"/>
          <w:szCs w:val="24"/>
        </w:rPr>
        <w:t>,</w:t>
      </w:r>
      <w:r w:rsidRPr="0043224D">
        <w:rPr>
          <w:rFonts w:ascii="Times New Roman" w:hAnsi="Times New Roman" w:cs="Times New Roman"/>
          <w:sz w:val="24"/>
          <w:szCs w:val="24"/>
        </w:rPr>
        <w:t xml:space="preserve"> perhaps</w:t>
      </w:r>
      <w:r w:rsidR="00553B41" w:rsidRPr="0043224D">
        <w:rPr>
          <w:rFonts w:ascii="Times New Roman" w:hAnsi="Times New Roman" w:cs="Times New Roman"/>
          <w:sz w:val="24"/>
          <w:szCs w:val="24"/>
        </w:rPr>
        <w:t>,</w:t>
      </w:r>
      <w:r w:rsidR="008215AB" w:rsidRPr="0043224D">
        <w:rPr>
          <w:rFonts w:ascii="Times New Roman" w:hAnsi="Times New Roman" w:cs="Times New Roman"/>
          <w:sz w:val="24"/>
          <w:szCs w:val="24"/>
        </w:rPr>
        <w:t xml:space="preserve"> at least some of the contributing factors as to why so many are excluded </w:t>
      </w:r>
      <w:r w:rsidR="00536B66" w:rsidRPr="0043224D">
        <w:rPr>
          <w:rFonts w:ascii="Times New Roman" w:hAnsi="Times New Roman" w:cs="Times New Roman"/>
          <w:sz w:val="24"/>
          <w:szCs w:val="24"/>
        </w:rPr>
        <w:t xml:space="preserve">from the global figures </w:t>
      </w:r>
      <w:r w:rsidR="002B605A" w:rsidRPr="0043224D">
        <w:rPr>
          <w:rFonts w:ascii="Times New Roman" w:hAnsi="Times New Roman" w:cs="Times New Roman"/>
          <w:sz w:val="24"/>
          <w:szCs w:val="24"/>
        </w:rPr>
        <w:t xml:space="preserve">on internal displacement </w:t>
      </w:r>
      <w:r w:rsidR="00536B66" w:rsidRPr="0043224D">
        <w:rPr>
          <w:rFonts w:ascii="Times New Roman" w:hAnsi="Times New Roman" w:cs="Times New Roman"/>
          <w:sz w:val="24"/>
          <w:szCs w:val="24"/>
        </w:rPr>
        <w:t xml:space="preserve">can be </w:t>
      </w:r>
      <w:r w:rsidR="00553B41" w:rsidRPr="0043224D">
        <w:rPr>
          <w:rFonts w:ascii="Times New Roman" w:hAnsi="Times New Roman" w:cs="Times New Roman"/>
          <w:sz w:val="24"/>
          <w:szCs w:val="24"/>
        </w:rPr>
        <w:t>offered</w:t>
      </w:r>
      <w:r w:rsidR="00536B66" w:rsidRPr="0043224D">
        <w:rPr>
          <w:rFonts w:ascii="Times New Roman" w:hAnsi="Times New Roman" w:cs="Times New Roman"/>
          <w:sz w:val="24"/>
          <w:szCs w:val="24"/>
        </w:rPr>
        <w:t xml:space="preserve"> </w:t>
      </w:r>
      <w:r w:rsidR="00553B41" w:rsidRPr="0043224D">
        <w:rPr>
          <w:rFonts w:ascii="Times New Roman" w:hAnsi="Times New Roman" w:cs="Times New Roman"/>
          <w:sz w:val="24"/>
          <w:szCs w:val="24"/>
        </w:rPr>
        <w:t>by</w:t>
      </w:r>
      <w:r w:rsidR="00536B66" w:rsidRPr="0043224D">
        <w:rPr>
          <w:rFonts w:ascii="Times New Roman" w:hAnsi="Times New Roman" w:cs="Times New Roman"/>
          <w:sz w:val="24"/>
          <w:szCs w:val="24"/>
        </w:rPr>
        <w:t xml:space="preserve"> the following discussion.</w:t>
      </w:r>
      <w:r w:rsidR="00536B66" w:rsidRPr="0043224D">
        <w:rPr>
          <w:rFonts w:ascii="Times New Roman" w:hAnsi="Times New Roman" w:cs="Times New Roman"/>
          <w:i/>
          <w:sz w:val="24"/>
          <w:szCs w:val="24"/>
        </w:rPr>
        <w:t xml:space="preserve">  </w:t>
      </w:r>
      <w:r w:rsidR="008215AB" w:rsidRPr="0043224D">
        <w:rPr>
          <w:rFonts w:ascii="Times New Roman" w:hAnsi="Times New Roman" w:cs="Times New Roman"/>
          <w:i/>
          <w:sz w:val="24"/>
          <w:szCs w:val="24"/>
        </w:rPr>
        <w:t xml:space="preserve">   </w:t>
      </w:r>
      <w:r w:rsidR="00673C52" w:rsidRPr="0043224D">
        <w:rPr>
          <w:rFonts w:ascii="Times New Roman" w:hAnsi="Times New Roman" w:cs="Times New Roman"/>
          <w:i/>
          <w:sz w:val="24"/>
          <w:szCs w:val="24"/>
        </w:rPr>
        <w:t xml:space="preserve"> </w:t>
      </w:r>
      <w:r w:rsidR="00D17B9C" w:rsidRPr="0043224D">
        <w:rPr>
          <w:rFonts w:ascii="Times New Roman" w:hAnsi="Times New Roman" w:cs="Times New Roman"/>
          <w:i/>
          <w:sz w:val="24"/>
          <w:szCs w:val="24"/>
        </w:rPr>
        <w:t xml:space="preserve">   </w:t>
      </w:r>
      <w:r w:rsidR="00852A74" w:rsidRPr="0043224D">
        <w:rPr>
          <w:rFonts w:ascii="Times New Roman" w:hAnsi="Times New Roman" w:cs="Times New Roman"/>
          <w:i/>
          <w:sz w:val="24"/>
          <w:szCs w:val="24"/>
        </w:rPr>
        <w:t xml:space="preserve">   </w:t>
      </w:r>
    </w:p>
    <w:p w:rsidR="007634F5" w:rsidRPr="003E34A8" w:rsidRDefault="002A5666" w:rsidP="0043224D">
      <w:pPr>
        <w:pStyle w:val="Heading3"/>
        <w:spacing w:line="360" w:lineRule="auto"/>
      </w:pPr>
      <w:bookmarkStart w:id="32" w:name="_Toc399848364"/>
      <w:r w:rsidRPr="003E34A8">
        <w:t>5</w:t>
      </w:r>
      <w:r w:rsidR="00F41E70" w:rsidRPr="003E34A8">
        <w:t>.2</w:t>
      </w:r>
      <w:r w:rsidR="007634F5" w:rsidRPr="003E34A8">
        <w:t>.1 “Compelling</w:t>
      </w:r>
      <w:r w:rsidR="00AB6A6C" w:rsidRPr="003E34A8">
        <w:t xml:space="preserve"> and Overriding Public Interest</w:t>
      </w:r>
      <w:r w:rsidR="007634F5" w:rsidRPr="003E34A8">
        <w:t>”</w:t>
      </w:r>
      <w:bookmarkEnd w:id="32"/>
    </w:p>
    <w:p w:rsidR="001D2101" w:rsidRPr="0043224D" w:rsidRDefault="00553B41"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There is</w:t>
      </w:r>
      <w:r w:rsidR="007634F5" w:rsidRPr="0043224D">
        <w:rPr>
          <w:rFonts w:ascii="Times New Roman" w:hAnsi="Times New Roman" w:cs="Times New Roman"/>
          <w:sz w:val="24"/>
          <w:szCs w:val="24"/>
        </w:rPr>
        <w:t xml:space="preserve"> in this </w:t>
      </w:r>
      <w:r w:rsidR="002C760C" w:rsidRPr="0043224D">
        <w:rPr>
          <w:rFonts w:ascii="Times New Roman" w:hAnsi="Times New Roman" w:cs="Times New Roman"/>
          <w:sz w:val="24"/>
          <w:szCs w:val="24"/>
        </w:rPr>
        <w:t>phrase</w:t>
      </w:r>
      <w:r w:rsidR="00673C52" w:rsidRPr="0043224D">
        <w:rPr>
          <w:rFonts w:ascii="Times New Roman" w:hAnsi="Times New Roman" w:cs="Times New Roman"/>
          <w:sz w:val="24"/>
          <w:szCs w:val="24"/>
        </w:rPr>
        <w:t xml:space="preserve"> taken</w:t>
      </w:r>
      <w:r w:rsidR="00D07523" w:rsidRPr="0043224D">
        <w:rPr>
          <w:rFonts w:ascii="Times New Roman" w:hAnsi="Times New Roman" w:cs="Times New Roman"/>
          <w:sz w:val="24"/>
          <w:szCs w:val="24"/>
        </w:rPr>
        <w:t xml:space="preserve"> from Principle 6</w:t>
      </w:r>
      <w:r w:rsidR="00673C52" w:rsidRPr="0043224D">
        <w:rPr>
          <w:rFonts w:ascii="Times New Roman" w:hAnsi="Times New Roman" w:cs="Times New Roman"/>
          <w:sz w:val="24"/>
          <w:szCs w:val="24"/>
        </w:rPr>
        <w:t xml:space="preserve"> of the Guiding Principles</w:t>
      </w:r>
      <w:r w:rsidR="007634F5" w:rsidRPr="0043224D">
        <w:rPr>
          <w:rFonts w:ascii="Times New Roman" w:hAnsi="Times New Roman" w:cs="Times New Roman"/>
          <w:sz w:val="24"/>
          <w:szCs w:val="24"/>
        </w:rPr>
        <w:t xml:space="preserve"> a large degree of ambi</w:t>
      </w:r>
      <w:r w:rsidR="00673C52" w:rsidRPr="0043224D">
        <w:rPr>
          <w:rFonts w:ascii="Times New Roman" w:hAnsi="Times New Roman" w:cs="Times New Roman"/>
          <w:sz w:val="24"/>
          <w:szCs w:val="24"/>
        </w:rPr>
        <w:t>guity</w:t>
      </w:r>
      <w:r w:rsidR="007634F5" w:rsidRPr="0043224D">
        <w:rPr>
          <w:rFonts w:ascii="Times New Roman" w:hAnsi="Times New Roman" w:cs="Times New Roman"/>
          <w:sz w:val="24"/>
          <w:szCs w:val="24"/>
        </w:rPr>
        <w:t xml:space="preserve">. By its very definition, </w:t>
      </w:r>
      <w:r w:rsidR="003C7CF3" w:rsidRPr="0043224D">
        <w:rPr>
          <w:rFonts w:ascii="Times New Roman" w:hAnsi="Times New Roman" w:cs="Times New Roman"/>
          <w:sz w:val="24"/>
          <w:szCs w:val="24"/>
        </w:rPr>
        <w:t xml:space="preserve">economic </w:t>
      </w:r>
      <w:r w:rsidRPr="0043224D">
        <w:rPr>
          <w:rFonts w:ascii="Times New Roman" w:hAnsi="Times New Roman" w:cs="Times New Roman"/>
          <w:sz w:val="24"/>
          <w:szCs w:val="24"/>
        </w:rPr>
        <w:t>development</w:t>
      </w:r>
      <w:r w:rsidR="007634F5" w:rsidRPr="0043224D">
        <w:rPr>
          <w:rFonts w:ascii="Times New Roman" w:hAnsi="Times New Roman" w:cs="Times New Roman"/>
          <w:sz w:val="24"/>
          <w:szCs w:val="24"/>
        </w:rPr>
        <w:t xml:space="preserve"> </w:t>
      </w:r>
      <w:r w:rsidR="003C7CF3" w:rsidRPr="0043224D">
        <w:rPr>
          <w:rFonts w:ascii="Times New Roman" w:hAnsi="Times New Roman" w:cs="Times New Roman"/>
          <w:sz w:val="24"/>
          <w:szCs w:val="24"/>
        </w:rPr>
        <w:t>as construe</w:t>
      </w:r>
      <w:r w:rsidRPr="0043224D">
        <w:rPr>
          <w:rFonts w:ascii="Times New Roman" w:hAnsi="Times New Roman" w:cs="Times New Roman"/>
          <w:sz w:val="24"/>
          <w:szCs w:val="24"/>
        </w:rPr>
        <w:t>d from a state-centric position</w:t>
      </w:r>
      <w:r w:rsidR="003C7CF3" w:rsidRPr="0043224D">
        <w:rPr>
          <w:rFonts w:ascii="Times New Roman" w:hAnsi="Times New Roman" w:cs="Times New Roman"/>
          <w:sz w:val="24"/>
          <w:szCs w:val="24"/>
        </w:rPr>
        <w:t xml:space="preserve"> is always in the public interest</w:t>
      </w:r>
      <w:r w:rsidR="005C04A3" w:rsidRPr="0043224D">
        <w:rPr>
          <w:rFonts w:ascii="Times New Roman" w:hAnsi="Times New Roman" w:cs="Times New Roman"/>
          <w:sz w:val="24"/>
          <w:szCs w:val="24"/>
        </w:rPr>
        <w:t xml:space="preserve"> for the majority of its citizens</w:t>
      </w:r>
      <w:r w:rsidR="00D44605" w:rsidRPr="0043224D">
        <w:rPr>
          <w:rFonts w:ascii="Times New Roman" w:hAnsi="Times New Roman" w:cs="Times New Roman"/>
          <w:sz w:val="24"/>
          <w:szCs w:val="24"/>
        </w:rPr>
        <w:t>, at least in the rhetorical sense</w:t>
      </w:r>
      <w:r w:rsidR="003C7CF3" w:rsidRPr="0043224D">
        <w:rPr>
          <w:rFonts w:ascii="Times New Roman" w:hAnsi="Times New Roman" w:cs="Times New Roman"/>
          <w:sz w:val="24"/>
          <w:szCs w:val="24"/>
        </w:rPr>
        <w:t>.</w:t>
      </w:r>
      <w:r w:rsidR="00FD459D" w:rsidRPr="0043224D">
        <w:rPr>
          <w:rStyle w:val="FootnoteReference"/>
          <w:rFonts w:ascii="Times New Roman" w:hAnsi="Times New Roman" w:cs="Times New Roman"/>
          <w:sz w:val="24"/>
          <w:szCs w:val="24"/>
        </w:rPr>
        <w:footnoteReference w:id="163"/>
      </w:r>
      <w:r w:rsidR="00FD459D" w:rsidRPr="0043224D">
        <w:rPr>
          <w:rFonts w:ascii="Times New Roman" w:hAnsi="Times New Roman" w:cs="Times New Roman"/>
          <w:sz w:val="24"/>
          <w:szCs w:val="24"/>
        </w:rPr>
        <w:t xml:space="preserve"> </w:t>
      </w:r>
      <w:r w:rsidR="003C7CF3" w:rsidRPr="0043224D">
        <w:rPr>
          <w:rFonts w:ascii="Times New Roman" w:hAnsi="Times New Roman" w:cs="Times New Roman"/>
          <w:sz w:val="24"/>
          <w:szCs w:val="24"/>
        </w:rPr>
        <w:t xml:space="preserve"> </w:t>
      </w:r>
      <w:r w:rsidR="00DB23FC" w:rsidRPr="0043224D">
        <w:rPr>
          <w:rFonts w:ascii="Times New Roman" w:hAnsi="Times New Roman" w:cs="Times New Roman"/>
          <w:sz w:val="24"/>
          <w:szCs w:val="24"/>
        </w:rPr>
        <w:t xml:space="preserve">National </w:t>
      </w:r>
      <w:r w:rsidR="003C7CF3" w:rsidRPr="0043224D">
        <w:rPr>
          <w:rFonts w:ascii="Times New Roman" w:hAnsi="Times New Roman" w:cs="Times New Roman"/>
          <w:sz w:val="24"/>
          <w:szCs w:val="24"/>
        </w:rPr>
        <w:t>development</w:t>
      </w:r>
      <w:r w:rsidR="00DB23FC" w:rsidRPr="0043224D">
        <w:rPr>
          <w:rFonts w:ascii="Times New Roman" w:hAnsi="Times New Roman" w:cs="Times New Roman"/>
          <w:sz w:val="24"/>
          <w:szCs w:val="24"/>
        </w:rPr>
        <w:t>, usually denoting economic</w:t>
      </w:r>
      <w:r w:rsidR="00D44605" w:rsidRPr="0043224D">
        <w:rPr>
          <w:rFonts w:ascii="Times New Roman" w:hAnsi="Times New Roman" w:cs="Times New Roman"/>
          <w:sz w:val="24"/>
          <w:szCs w:val="24"/>
        </w:rPr>
        <w:t xml:space="preserve"> development first and foremost</w:t>
      </w:r>
      <w:r w:rsidR="003C7CF3" w:rsidRPr="0043224D">
        <w:rPr>
          <w:rFonts w:ascii="Times New Roman" w:hAnsi="Times New Roman" w:cs="Times New Roman"/>
          <w:sz w:val="24"/>
          <w:szCs w:val="24"/>
        </w:rPr>
        <w:t xml:space="preserve"> in </w:t>
      </w:r>
      <w:r w:rsidR="00316515" w:rsidRPr="0043224D">
        <w:rPr>
          <w:rFonts w:ascii="Times New Roman" w:hAnsi="Times New Roman" w:cs="Times New Roman"/>
          <w:sz w:val="24"/>
          <w:szCs w:val="24"/>
        </w:rPr>
        <w:t>an</w:t>
      </w:r>
      <w:r w:rsidR="003C7CF3" w:rsidRPr="0043224D">
        <w:rPr>
          <w:rFonts w:ascii="Times New Roman" w:hAnsi="Times New Roman" w:cs="Times New Roman"/>
          <w:sz w:val="24"/>
          <w:szCs w:val="24"/>
        </w:rPr>
        <w:t xml:space="preserve"> </w:t>
      </w:r>
      <w:r w:rsidR="00316515" w:rsidRPr="0043224D">
        <w:rPr>
          <w:rFonts w:ascii="Times New Roman" w:hAnsi="Times New Roman" w:cs="Times New Roman"/>
          <w:sz w:val="24"/>
          <w:szCs w:val="24"/>
        </w:rPr>
        <w:t>underdeveloped</w:t>
      </w:r>
      <w:r w:rsidR="003C7CF3" w:rsidRPr="0043224D">
        <w:rPr>
          <w:rFonts w:ascii="Times New Roman" w:hAnsi="Times New Roman" w:cs="Times New Roman"/>
          <w:sz w:val="24"/>
          <w:szCs w:val="24"/>
        </w:rPr>
        <w:t xml:space="preserve"> state, resource ri</w:t>
      </w:r>
      <w:r w:rsidR="00316515" w:rsidRPr="0043224D">
        <w:rPr>
          <w:rFonts w:ascii="Times New Roman" w:hAnsi="Times New Roman" w:cs="Times New Roman"/>
          <w:sz w:val="24"/>
          <w:szCs w:val="24"/>
        </w:rPr>
        <w:t>ch or not, is always compelling</w:t>
      </w:r>
      <w:r w:rsidR="00CB3DEA" w:rsidRPr="0043224D">
        <w:rPr>
          <w:rFonts w:ascii="Times New Roman" w:hAnsi="Times New Roman" w:cs="Times New Roman"/>
          <w:sz w:val="24"/>
          <w:szCs w:val="24"/>
        </w:rPr>
        <w:t>,</w:t>
      </w:r>
      <w:r w:rsidR="00316515" w:rsidRPr="0043224D">
        <w:rPr>
          <w:rFonts w:ascii="Times New Roman" w:hAnsi="Times New Roman" w:cs="Times New Roman"/>
          <w:sz w:val="24"/>
          <w:szCs w:val="24"/>
        </w:rPr>
        <w:t xml:space="preserve"> to alleviate poverty, hunger, and underdevelopment generally. </w:t>
      </w:r>
      <w:r w:rsidR="00DB23FC" w:rsidRPr="0043224D">
        <w:rPr>
          <w:rFonts w:ascii="Times New Roman" w:hAnsi="Times New Roman" w:cs="Times New Roman"/>
          <w:sz w:val="24"/>
          <w:szCs w:val="24"/>
        </w:rPr>
        <w:t>Similarly, the word “overriding” pits the modern</w:t>
      </w:r>
      <w:r w:rsidR="00FD459D" w:rsidRPr="0043224D">
        <w:rPr>
          <w:rFonts w:ascii="Times New Roman" w:hAnsi="Times New Roman" w:cs="Times New Roman"/>
          <w:sz w:val="24"/>
          <w:szCs w:val="24"/>
        </w:rPr>
        <w:t xml:space="preserve"> developing</w:t>
      </w:r>
      <w:r w:rsidR="00DB23FC" w:rsidRPr="0043224D">
        <w:rPr>
          <w:rFonts w:ascii="Times New Roman" w:hAnsi="Times New Roman" w:cs="Times New Roman"/>
          <w:sz w:val="24"/>
          <w:szCs w:val="24"/>
        </w:rPr>
        <w:t xml:space="preserve"> state’s normative and prescriptive version of development</w:t>
      </w:r>
      <w:r w:rsidR="00D44605" w:rsidRPr="0043224D">
        <w:rPr>
          <w:rFonts w:ascii="Times New Roman" w:hAnsi="Times New Roman" w:cs="Times New Roman"/>
          <w:sz w:val="24"/>
          <w:szCs w:val="24"/>
        </w:rPr>
        <w:t xml:space="preserve"> against the interests of indigenous livelihoods, traditional occupations, and often ultimately,</w:t>
      </w:r>
      <w:r w:rsidR="0040265B" w:rsidRPr="0043224D">
        <w:rPr>
          <w:rFonts w:ascii="Times New Roman" w:hAnsi="Times New Roman" w:cs="Times New Roman"/>
          <w:sz w:val="24"/>
          <w:szCs w:val="24"/>
        </w:rPr>
        <w:t xml:space="preserve"> their</w:t>
      </w:r>
      <w:r w:rsidR="00D44605" w:rsidRPr="0043224D">
        <w:rPr>
          <w:rFonts w:ascii="Times New Roman" w:hAnsi="Times New Roman" w:cs="Times New Roman"/>
          <w:sz w:val="24"/>
          <w:szCs w:val="24"/>
        </w:rPr>
        <w:t xml:space="preserve"> cultural survival</w:t>
      </w:r>
      <w:r w:rsidR="00DB23FC" w:rsidRPr="0043224D">
        <w:rPr>
          <w:rFonts w:ascii="Times New Roman" w:hAnsi="Times New Roman" w:cs="Times New Roman"/>
          <w:sz w:val="24"/>
          <w:szCs w:val="24"/>
        </w:rPr>
        <w:t xml:space="preserve">. National </w:t>
      </w:r>
      <w:r w:rsidR="00D44605" w:rsidRPr="0043224D">
        <w:rPr>
          <w:rFonts w:ascii="Times New Roman" w:hAnsi="Times New Roman" w:cs="Times New Roman"/>
          <w:sz w:val="24"/>
          <w:szCs w:val="24"/>
        </w:rPr>
        <w:t>de</w:t>
      </w:r>
      <w:r w:rsidR="00F41E70" w:rsidRPr="0043224D">
        <w:rPr>
          <w:rFonts w:ascii="Times New Roman" w:hAnsi="Times New Roman" w:cs="Times New Roman"/>
          <w:sz w:val="24"/>
          <w:szCs w:val="24"/>
        </w:rPr>
        <w:t>velopment, as the UNPFII</w:t>
      </w:r>
      <w:r w:rsidR="00D44605" w:rsidRPr="0043224D">
        <w:rPr>
          <w:rFonts w:ascii="Times New Roman" w:hAnsi="Times New Roman" w:cs="Times New Roman"/>
          <w:sz w:val="24"/>
          <w:szCs w:val="24"/>
        </w:rPr>
        <w:t xml:space="preserve"> has asserted on numerous occasions</w:t>
      </w:r>
      <w:r w:rsidR="00F41E70" w:rsidRPr="0043224D">
        <w:rPr>
          <w:rFonts w:ascii="Times New Roman" w:hAnsi="Times New Roman" w:cs="Times New Roman"/>
          <w:sz w:val="24"/>
          <w:szCs w:val="24"/>
        </w:rPr>
        <w:t>, has</w:t>
      </w:r>
      <w:r w:rsidR="00DB23FC" w:rsidRPr="0043224D">
        <w:rPr>
          <w:rFonts w:ascii="Times New Roman" w:hAnsi="Times New Roman" w:cs="Times New Roman"/>
          <w:sz w:val="24"/>
          <w:szCs w:val="24"/>
        </w:rPr>
        <w:t xml:space="preserve"> consistently been the pretext and justification for the taking of indigenous land for logging, plantations, oil, gas and mineral extraction</w:t>
      </w:r>
      <w:r w:rsidR="00F41E70" w:rsidRPr="0043224D">
        <w:rPr>
          <w:rFonts w:ascii="Times New Roman" w:hAnsi="Times New Roman" w:cs="Times New Roman"/>
          <w:sz w:val="24"/>
          <w:szCs w:val="24"/>
        </w:rPr>
        <w:t>.</w:t>
      </w:r>
      <w:r w:rsidR="00D44605" w:rsidRPr="0043224D">
        <w:rPr>
          <w:rStyle w:val="FootnoteReference"/>
          <w:rFonts w:ascii="Times New Roman" w:hAnsi="Times New Roman" w:cs="Times New Roman"/>
          <w:sz w:val="24"/>
          <w:szCs w:val="24"/>
        </w:rPr>
        <w:footnoteReference w:id="164"/>
      </w:r>
      <w:r w:rsidR="00DB23FC" w:rsidRPr="0043224D">
        <w:rPr>
          <w:rFonts w:ascii="Times New Roman" w:hAnsi="Times New Roman" w:cs="Times New Roman"/>
          <w:sz w:val="24"/>
          <w:szCs w:val="24"/>
        </w:rPr>
        <w:t xml:space="preserve"> </w:t>
      </w:r>
    </w:p>
    <w:p w:rsidR="001D2101" w:rsidRPr="0043224D" w:rsidRDefault="0040265B"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In effect, the balance of interest is heavily stacked in favour of development as an “overriding public interest” when prescribed by the state, as opposed to the interests of </w:t>
      </w:r>
      <w:r w:rsidR="00CB3DEA" w:rsidRPr="0043224D">
        <w:rPr>
          <w:rFonts w:ascii="Times New Roman" w:hAnsi="Times New Roman" w:cs="Times New Roman"/>
          <w:sz w:val="24"/>
          <w:szCs w:val="24"/>
        </w:rPr>
        <w:t>indigenous groups</w:t>
      </w:r>
      <w:r w:rsidR="00F60BB5" w:rsidRPr="0043224D">
        <w:rPr>
          <w:rFonts w:ascii="Times New Roman" w:hAnsi="Times New Roman" w:cs="Times New Roman"/>
          <w:sz w:val="24"/>
          <w:szCs w:val="24"/>
        </w:rPr>
        <w:t xml:space="preserve"> who </w:t>
      </w:r>
      <w:r w:rsidR="001D2101" w:rsidRPr="0043224D">
        <w:rPr>
          <w:rFonts w:ascii="Times New Roman" w:hAnsi="Times New Roman" w:cs="Times New Roman"/>
          <w:sz w:val="24"/>
          <w:szCs w:val="24"/>
        </w:rPr>
        <w:t xml:space="preserve">are at an immediate disadvantage. </w:t>
      </w:r>
      <w:r w:rsidRPr="0043224D">
        <w:rPr>
          <w:rFonts w:ascii="Times New Roman" w:hAnsi="Times New Roman" w:cs="Times New Roman"/>
          <w:sz w:val="24"/>
          <w:szCs w:val="24"/>
        </w:rPr>
        <w:t xml:space="preserve">   </w:t>
      </w:r>
    </w:p>
    <w:p w:rsidR="004B720C" w:rsidRPr="0043224D" w:rsidRDefault="00FD459D"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Yet there is also a</w:t>
      </w:r>
      <w:r w:rsidR="00E62DBE" w:rsidRPr="0043224D">
        <w:rPr>
          <w:rFonts w:ascii="Times New Roman" w:hAnsi="Times New Roman" w:cs="Times New Roman"/>
          <w:sz w:val="24"/>
          <w:szCs w:val="24"/>
        </w:rPr>
        <w:t>n explicit</w:t>
      </w:r>
      <w:r w:rsidRPr="0043224D">
        <w:rPr>
          <w:rFonts w:ascii="Times New Roman" w:hAnsi="Times New Roman" w:cs="Times New Roman"/>
          <w:sz w:val="24"/>
          <w:szCs w:val="24"/>
        </w:rPr>
        <w:t xml:space="preserve"> parado</w:t>
      </w:r>
      <w:r w:rsidR="00F41E70" w:rsidRPr="0043224D">
        <w:rPr>
          <w:rFonts w:ascii="Times New Roman" w:hAnsi="Times New Roman" w:cs="Times New Roman"/>
          <w:sz w:val="24"/>
          <w:szCs w:val="24"/>
        </w:rPr>
        <w:t xml:space="preserve">x here. Large-scale development projects such as </w:t>
      </w:r>
      <w:r w:rsidRPr="0043224D">
        <w:rPr>
          <w:rFonts w:ascii="Times New Roman" w:hAnsi="Times New Roman" w:cs="Times New Roman"/>
          <w:sz w:val="24"/>
          <w:szCs w:val="24"/>
        </w:rPr>
        <w:t>dams, railways, irrigations canals</w:t>
      </w:r>
      <w:r w:rsidR="00EA6162" w:rsidRPr="0043224D">
        <w:rPr>
          <w:rFonts w:ascii="Times New Roman" w:hAnsi="Times New Roman" w:cs="Times New Roman"/>
          <w:sz w:val="24"/>
          <w:szCs w:val="24"/>
        </w:rPr>
        <w:t>, highways</w:t>
      </w:r>
      <w:r w:rsidR="00F41E70" w:rsidRPr="0043224D">
        <w:rPr>
          <w:rFonts w:ascii="Times New Roman" w:hAnsi="Times New Roman" w:cs="Times New Roman"/>
          <w:sz w:val="24"/>
          <w:szCs w:val="24"/>
        </w:rPr>
        <w:t xml:space="preserve">, </w:t>
      </w:r>
      <w:r w:rsidRPr="0043224D">
        <w:rPr>
          <w:rFonts w:ascii="Times New Roman" w:hAnsi="Times New Roman" w:cs="Times New Roman"/>
          <w:sz w:val="24"/>
          <w:szCs w:val="24"/>
        </w:rPr>
        <w:t>can</w:t>
      </w:r>
      <w:r w:rsidR="00F632E6" w:rsidRPr="0043224D">
        <w:rPr>
          <w:rFonts w:ascii="Times New Roman" w:hAnsi="Times New Roman" w:cs="Times New Roman"/>
          <w:sz w:val="24"/>
          <w:szCs w:val="24"/>
        </w:rPr>
        <w:t xml:space="preserve"> and do</w:t>
      </w:r>
      <w:r w:rsidRPr="0043224D">
        <w:rPr>
          <w:rFonts w:ascii="Times New Roman" w:hAnsi="Times New Roman" w:cs="Times New Roman"/>
          <w:sz w:val="24"/>
          <w:szCs w:val="24"/>
        </w:rPr>
        <w:t xml:space="preserve"> contribute to the</w:t>
      </w:r>
      <w:r w:rsidR="00F41E70" w:rsidRPr="0043224D">
        <w:rPr>
          <w:rFonts w:ascii="Times New Roman" w:hAnsi="Times New Roman" w:cs="Times New Roman"/>
          <w:sz w:val="24"/>
          <w:szCs w:val="24"/>
        </w:rPr>
        <w:t xml:space="preserve"> actual and progressive</w:t>
      </w:r>
      <w:r w:rsidRPr="0043224D">
        <w:rPr>
          <w:rFonts w:ascii="Times New Roman" w:hAnsi="Times New Roman" w:cs="Times New Roman"/>
          <w:sz w:val="24"/>
          <w:szCs w:val="24"/>
        </w:rPr>
        <w:t xml:space="preserve"> realisation of human rights. </w:t>
      </w:r>
      <w:r w:rsidR="00671F97" w:rsidRPr="0043224D">
        <w:rPr>
          <w:rFonts w:ascii="Times New Roman" w:hAnsi="Times New Roman" w:cs="Times New Roman"/>
          <w:sz w:val="24"/>
          <w:szCs w:val="24"/>
        </w:rPr>
        <w:t>Therefore</w:t>
      </w:r>
      <w:r w:rsidR="00734F87" w:rsidRPr="0043224D">
        <w:rPr>
          <w:rFonts w:ascii="Times New Roman" w:hAnsi="Times New Roman" w:cs="Times New Roman"/>
          <w:sz w:val="24"/>
          <w:szCs w:val="24"/>
        </w:rPr>
        <w:t xml:space="preserve"> in this connection</w:t>
      </w:r>
      <w:r w:rsidR="006C05F7" w:rsidRPr="0043224D">
        <w:rPr>
          <w:rFonts w:ascii="Times New Roman" w:hAnsi="Times New Roman" w:cs="Times New Roman"/>
          <w:sz w:val="24"/>
          <w:szCs w:val="24"/>
        </w:rPr>
        <w:t xml:space="preserve"> it is important to point out that</w:t>
      </w:r>
      <w:r w:rsidR="00671F97" w:rsidRPr="0043224D">
        <w:rPr>
          <w:rFonts w:ascii="Times New Roman" w:hAnsi="Times New Roman" w:cs="Times New Roman"/>
          <w:sz w:val="24"/>
          <w:szCs w:val="24"/>
        </w:rPr>
        <w:t xml:space="preserve"> </w:t>
      </w:r>
      <w:r w:rsidR="00F41E70" w:rsidRPr="0043224D">
        <w:rPr>
          <w:rFonts w:ascii="Times New Roman" w:hAnsi="Times New Roman" w:cs="Times New Roman"/>
          <w:sz w:val="24"/>
          <w:szCs w:val="24"/>
        </w:rPr>
        <w:t>subparagraph</w:t>
      </w:r>
      <w:r w:rsidR="00671F97" w:rsidRPr="0043224D">
        <w:rPr>
          <w:rFonts w:ascii="Times New Roman" w:hAnsi="Times New Roman" w:cs="Times New Roman"/>
          <w:sz w:val="24"/>
          <w:szCs w:val="24"/>
        </w:rPr>
        <w:t xml:space="preserve"> (c)</w:t>
      </w:r>
      <w:r w:rsidR="00F41E70" w:rsidRPr="0043224D">
        <w:rPr>
          <w:rFonts w:ascii="Times New Roman" w:hAnsi="Times New Roman" w:cs="Times New Roman"/>
          <w:sz w:val="24"/>
          <w:szCs w:val="24"/>
        </w:rPr>
        <w:t xml:space="preserve"> of the Guiding Principles</w:t>
      </w:r>
      <w:r w:rsidR="00671F97" w:rsidRPr="0043224D">
        <w:rPr>
          <w:rFonts w:ascii="Times New Roman" w:hAnsi="Times New Roman" w:cs="Times New Roman"/>
          <w:sz w:val="24"/>
          <w:szCs w:val="24"/>
        </w:rPr>
        <w:t xml:space="preserve"> does not actually prohibit displacement</w:t>
      </w:r>
      <w:r w:rsidR="00E62DBE" w:rsidRPr="0043224D">
        <w:rPr>
          <w:rFonts w:ascii="Times New Roman" w:hAnsi="Times New Roman" w:cs="Times New Roman"/>
          <w:sz w:val="24"/>
          <w:szCs w:val="24"/>
        </w:rPr>
        <w:t xml:space="preserve"> due to development</w:t>
      </w:r>
      <w:r w:rsidR="00671F97" w:rsidRPr="0043224D">
        <w:rPr>
          <w:rFonts w:ascii="Times New Roman" w:hAnsi="Times New Roman" w:cs="Times New Roman"/>
          <w:sz w:val="24"/>
          <w:szCs w:val="24"/>
        </w:rPr>
        <w:t xml:space="preserve">, </w:t>
      </w:r>
      <w:r w:rsidR="00E62DBE" w:rsidRPr="0043224D">
        <w:rPr>
          <w:rFonts w:ascii="Times New Roman" w:hAnsi="Times New Roman" w:cs="Times New Roman"/>
          <w:sz w:val="24"/>
          <w:szCs w:val="24"/>
        </w:rPr>
        <w:t>rather, as Walter Kälin points out</w:t>
      </w:r>
      <w:r w:rsidR="0092183C" w:rsidRPr="0043224D">
        <w:rPr>
          <w:rFonts w:ascii="Times New Roman" w:hAnsi="Times New Roman" w:cs="Times New Roman"/>
          <w:sz w:val="24"/>
          <w:szCs w:val="24"/>
        </w:rPr>
        <w:t xml:space="preserve"> in his annotations to the </w:t>
      </w:r>
      <w:r w:rsidR="00CB3DEA" w:rsidRPr="0043224D">
        <w:rPr>
          <w:rFonts w:ascii="Times New Roman" w:hAnsi="Times New Roman" w:cs="Times New Roman"/>
          <w:sz w:val="24"/>
          <w:szCs w:val="24"/>
        </w:rPr>
        <w:t>G</w:t>
      </w:r>
      <w:r w:rsidR="0092183C" w:rsidRPr="0043224D">
        <w:rPr>
          <w:rFonts w:ascii="Times New Roman" w:hAnsi="Times New Roman" w:cs="Times New Roman"/>
          <w:sz w:val="24"/>
          <w:szCs w:val="24"/>
        </w:rPr>
        <w:t>uidelines</w:t>
      </w:r>
      <w:r w:rsidR="00E62DBE" w:rsidRPr="0043224D">
        <w:rPr>
          <w:rFonts w:ascii="Times New Roman" w:hAnsi="Times New Roman" w:cs="Times New Roman"/>
          <w:sz w:val="24"/>
          <w:szCs w:val="24"/>
        </w:rPr>
        <w:t>, it is only permissible when authorities can justify it when the requirements of necessi</w:t>
      </w:r>
      <w:r w:rsidR="00F41E70" w:rsidRPr="0043224D">
        <w:rPr>
          <w:rFonts w:ascii="Times New Roman" w:hAnsi="Times New Roman" w:cs="Times New Roman"/>
          <w:sz w:val="24"/>
          <w:szCs w:val="24"/>
        </w:rPr>
        <w:t>ty and proportionality are met.</w:t>
      </w:r>
      <w:r w:rsidR="00E62DBE" w:rsidRPr="0043224D">
        <w:rPr>
          <w:rStyle w:val="FootnoteReference"/>
          <w:rFonts w:ascii="Times New Roman" w:hAnsi="Times New Roman" w:cs="Times New Roman"/>
          <w:sz w:val="24"/>
          <w:szCs w:val="24"/>
        </w:rPr>
        <w:footnoteReference w:id="165"/>
      </w:r>
      <w:r w:rsidR="00E62DBE" w:rsidRPr="0043224D">
        <w:rPr>
          <w:rFonts w:ascii="Times New Roman" w:hAnsi="Times New Roman" w:cs="Times New Roman"/>
          <w:sz w:val="24"/>
          <w:szCs w:val="24"/>
        </w:rPr>
        <w:t xml:space="preserve"> </w:t>
      </w:r>
      <w:r w:rsidR="00F632E6" w:rsidRPr="0043224D">
        <w:rPr>
          <w:rFonts w:ascii="Times New Roman" w:hAnsi="Times New Roman" w:cs="Times New Roman"/>
          <w:sz w:val="24"/>
          <w:szCs w:val="24"/>
        </w:rPr>
        <w:t>Yet these</w:t>
      </w:r>
      <w:r w:rsidR="004B720C" w:rsidRPr="0043224D">
        <w:rPr>
          <w:rFonts w:ascii="Times New Roman" w:hAnsi="Times New Roman" w:cs="Times New Roman"/>
          <w:sz w:val="24"/>
          <w:szCs w:val="24"/>
        </w:rPr>
        <w:t xml:space="preserve"> balancing</w:t>
      </w:r>
      <w:r w:rsidR="00F632E6" w:rsidRPr="0043224D">
        <w:rPr>
          <w:rFonts w:ascii="Times New Roman" w:hAnsi="Times New Roman" w:cs="Times New Roman"/>
          <w:sz w:val="24"/>
          <w:szCs w:val="24"/>
        </w:rPr>
        <w:t xml:space="preserve"> tests leave a large and ambivalent chasm right at the heart</w:t>
      </w:r>
      <w:r w:rsidR="004B720C" w:rsidRPr="0043224D">
        <w:rPr>
          <w:rFonts w:ascii="Times New Roman" w:hAnsi="Times New Roman" w:cs="Times New Roman"/>
          <w:sz w:val="24"/>
          <w:szCs w:val="24"/>
        </w:rPr>
        <w:t xml:space="preserve"> of</w:t>
      </w:r>
      <w:r w:rsidR="00F41E70" w:rsidRPr="0043224D">
        <w:rPr>
          <w:rFonts w:ascii="Times New Roman" w:hAnsi="Times New Roman" w:cs="Times New Roman"/>
          <w:sz w:val="24"/>
          <w:szCs w:val="24"/>
        </w:rPr>
        <w:t xml:space="preserve"> development-</w:t>
      </w:r>
      <w:r w:rsidR="00F632E6" w:rsidRPr="0043224D">
        <w:rPr>
          <w:rFonts w:ascii="Times New Roman" w:hAnsi="Times New Roman" w:cs="Times New Roman"/>
          <w:sz w:val="24"/>
          <w:szCs w:val="24"/>
        </w:rPr>
        <w:t xml:space="preserve">induced displacement </w:t>
      </w:r>
      <w:r w:rsidR="00CB3DEA" w:rsidRPr="0043224D">
        <w:rPr>
          <w:rFonts w:ascii="Times New Roman" w:hAnsi="Times New Roman" w:cs="Times New Roman"/>
          <w:sz w:val="24"/>
          <w:szCs w:val="24"/>
        </w:rPr>
        <w:t xml:space="preserve">regarding </w:t>
      </w:r>
      <w:r w:rsidR="00E53FD4" w:rsidRPr="0043224D">
        <w:rPr>
          <w:rFonts w:ascii="Times New Roman" w:hAnsi="Times New Roman" w:cs="Times New Roman"/>
          <w:sz w:val="24"/>
          <w:szCs w:val="24"/>
        </w:rPr>
        <w:t>indigenous peoples</w:t>
      </w:r>
      <w:r w:rsidR="00F632E6" w:rsidRPr="0043224D">
        <w:rPr>
          <w:rFonts w:ascii="Times New Roman" w:hAnsi="Times New Roman" w:cs="Times New Roman"/>
          <w:sz w:val="24"/>
          <w:szCs w:val="24"/>
        </w:rPr>
        <w:t xml:space="preserve">. </w:t>
      </w:r>
      <w:r w:rsidR="004B720C" w:rsidRPr="0043224D">
        <w:rPr>
          <w:rFonts w:ascii="Times New Roman" w:hAnsi="Times New Roman" w:cs="Times New Roman"/>
          <w:sz w:val="24"/>
          <w:szCs w:val="24"/>
        </w:rPr>
        <w:t>As alluded to in the discussion in the above paragraph, when development policies</w:t>
      </w:r>
      <w:r w:rsidR="00495BB6" w:rsidRPr="0043224D">
        <w:rPr>
          <w:rFonts w:ascii="Times New Roman" w:hAnsi="Times New Roman" w:cs="Times New Roman"/>
          <w:sz w:val="24"/>
          <w:szCs w:val="24"/>
        </w:rPr>
        <w:t xml:space="preserve"> which directly impact </w:t>
      </w:r>
      <w:r w:rsidR="00E53FD4" w:rsidRPr="0043224D">
        <w:rPr>
          <w:rFonts w:ascii="Times New Roman" w:hAnsi="Times New Roman" w:cs="Times New Roman"/>
          <w:sz w:val="24"/>
          <w:szCs w:val="24"/>
        </w:rPr>
        <w:t>indigenous peoples</w:t>
      </w:r>
      <w:r w:rsidR="00E53FD4" w:rsidRPr="0043224D">
        <w:rPr>
          <w:rFonts w:ascii="Times New Roman" w:hAnsi="Times New Roman" w:cs="Times New Roman"/>
          <w:i/>
          <w:sz w:val="24"/>
          <w:szCs w:val="24"/>
        </w:rPr>
        <w:t xml:space="preserve"> </w:t>
      </w:r>
      <w:r w:rsidR="004B720C" w:rsidRPr="0043224D">
        <w:rPr>
          <w:rFonts w:ascii="Times New Roman" w:hAnsi="Times New Roman" w:cs="Times New Roman"/>
          <w:sz w:val="24"/>
          <w:szCs w:val="24"/>
        </w:rPr>
        <w:t xml:space="preserve">are </w:t>
      </w:r>
      <w:r w:rsidR="00495BB6" w:rsidRPr="0043224D">
        <w:rPr>
          <w:rFonts w:ascii="Times New Roman" w:hAnsi="Times New Roman" w:cs="Times New Roman"/>
          <w:sz w:val="24"/>
          <w:szCs w:val="24"/>
        </w:rPr>
        <w:t>conceived</w:t>
      </w:r>
      <w:r w:rsidR="004B720C" w:rsidRPr="0043224D">
        <w:rPr>
          <w:rFonts w:ascii="Times New Roman" w:hAnsi="Times New Roman" w:cs="Times New Roman"/>
          <w:sz w:val="24"/>
          <w:szCs w:val="24"/>
        </w:rPr>
        <w:t xml:space="preserve"> and enacted in </w:t>
      </w:r>
      <w:r w:rsidR="00F35F65" w:rsidRPr="0043224D">
        <w:rPr>
          <w:rFonts w:ascii="Times New Roman" w:hAnsi="Times New Roman" w:cs="Times New Roman"/>
          <w:sz w:val="24"/>
          <w:szCs w:val="24"/>
        </w:rPr>
        <w:t>less developed</w:t>
      </w:r>
      <w:r w:rsidR="004B720C" w:rsidRPr="0043224D">
        <w:rPr>
          <w:rFonts w:ascii="Times New Roman" w:hAnsi="Times New Roman" w:cs="Times New Roman"/>
          <w:sz w:val="24"/>
          <w:szCs w:val="24"/>
        </w:rPr>
        <w:t xml:space="preserve"> countries</w:t>
      </w:r>
      <w:r w:rsidR="00F35F65" w:rsidRPr="0043224D">
        <w:rPr>
          <w:rFonts w:ascii="Times New Roman" w:hAnsi="Times New Roman" w:cs="Times New Roman"/>
          <w:sz w:val="24"/>
          <w:szCs w:val="24"/>
        </w:rPr>
        <w:t xml:space="preserve"> (LDCs)</w:t>
      </w:r>
      <w:r w:rsidR="004B720C" w:rsidRPr="0043224D">
        <w:rPr>
          <w:rFonts w:ascii="Times New Roman" w:hAnsi="Times New Roman" w:cs="Times New Roman"/>
          <w:sz w:val="24"/>
          <w:szCs w:val="24"/>
        </w:rPr>
        <w:t xml:space="preserve">, they are almost invariably done so in a </w:t>
      </w:r>
      <w:r w:rsidR="00495BB6" w:rsidRPr="0043224D">
        <w:rPr>
          <w:rFonts w:ascii="Times New Roman" w:hAnsi="Times New Roman" w:cs="Times New Roman"/>
          <w:sz w:val="24"/>
          <w:szCs w:val="24"/>
        </w:rPr>
        <w:t xml:space="preserve">heavily </w:t>
      </w:r>
      <w:r w:rsidR="004B720C" w:rsidRPr="0043224D">
        <w:rPr>
          <w:rFonts w:ascii="Times New Roman" w:hAnsi="Times New Roman" w:cs="Times New Roman"/>
          <w:sz w:val="24"/>
          <w:szCs w:val="24"/>
        </w:rPr>
        <w:t>centralised way</w:t>
      </w:r>
      <w:r w:rsidR="00495BB6" w:rsidRPr="0043224D">
        <w:rPr>
          <w:rFonts w:ascii="Times New Roman" w:hAnsi="Times New Roman" w:cs="Times New Roman"/>
          <w:sz w:val="24"/>
          <w:szCs w:val="24"/>
        </w:rPr>
        <w:t>, with little or no input from the people who will be affected</w:t>
      </w:r>
      <w:r w:rsidR="004B720C" w:rsidRPr="0043224D">
        <w:rPr>
          <w:rFonts w:ascii="Times New Roman" w:hAnsi="Times New Roman" w:cs="Times New Roman"/>
          <w:sz w:val="24"/>
          <w:szCs w:val="24"/>
        </w:rPr>
        <w:t>.</w:t>
      </w:r>
      <w:r w:rsidR="00F35F65" w:rsidRPr="0043224D">
        <w:rPr>
          <w:rStyle w:val="FootnoteReference"/>
          <w:rFonts w:ascii="Times New Roman" w:hAnsi="Times New Roman" w:cs="Times New Roman"/>
          <w:sz w:val="24"/>
          <w:szCs w:val="24"/>
        </w:rPr>
        <w:footnoteReference w:id="166"/>
      </w:r>
      <w:r w:rsidR="00F35F65" w:rsidRPr="0043224D">
        <w:rPr>
          <w:rFonts w:ascii="Times New Roman" w:hAnsi="Times New Roman" w:cs="Times New Roman"/>
          <w:sz w:val="24"/>
          <w:szCs w:val="24"/>
        </w:rPr>
        <w:t xml:space="preserve"> Although this model of </w:t>
      </w:r>
      <w:r w:rsidR="00CB3DEA" w:rsidRPr="0043224D">
        <w:rPr>
          <w:rFonts w:ascii="Times New Roman" w:hAnsi="Times New Roman" w:cs="Times New Roman"/>
          <w:sz w:val="24"/>
          <w:szCs w:val="24"/>
        </w:rPr>
        <w:t xml:space="preserve">top-down </w:t>
      </w:r>
      <w:r w:rsidR="00F35F65" w:rsidRPr="0043224D">
        <w:rPr>
          <w:rFonts w:ascii="Times New Roman" w:hAnsi="Times New Roman" w:cs="Times New Roman"/>
          <w:sz w:val="24"/>
          <w:szCs w:val="24"/>
        </w:rPr>
        <w:t>development in LDCs is</w:t>
      </w:r>
      <w:r w:rsidR="00CB3DEA" w:rsidRPr="0043224D">
        <w:rPr>
          <w:rFonts w:ascii="Times New Roman" w:hAnsi="Times New Roman" w:cs="Times New Roman"/>
          <w:sz w:val="24"/>
          <w:szCs w:val="24"/>
        </w:rPr>
        <w:t xml:space="preserve"> perhaps</w:t>
      </w:r>
      <w:r w:rsidR="00F35F65" w:rsidRPr="0043224D">
        <w:rPr>
          <w:rFonts w:ascii="Times New Roman" w:hAnsi="Times New Roman" w:cs="Times New Roman"/>
          <w:sz w:val="24"/>
          <w:szCs w:val="24"/>
        </w:rPr>
        <w:t xml:space="preserve"> not as hegemonic as before</w:t>
      </w:r>
      <w:r w:rsidR="00CB3DEA" w:rsidRPr="0043224D">
        <w:rPr>
          <w:rFonts w:ascii="Times New Roman" w:hAnsi="Times New Roman" w:cs="Times New Roman"/>
          <w:sz w:val="24"/>
          <w:szCs w:val="24"/>
        </w:rPr>
        <w:t xml:space="preserve"> at least in South America</w:t>
      </w:r>
      <w:r w:rsidR="00F35F65" w:rsidRPr="0043224D">
        <w:rPr>
          <w:rFonts w:ascii="Times New Roman" w:hAnsi="Times New Roman" w:cs="Times New Roman"/>
          <w:sz w:val="24"/>
          <w:szCs w:val="24"/>
        </w:rPr>
        <w:t>, it</w:t>
      </w:r>
      <w:r w:rsidR="00F41E70" w:rsidRPr="0043224D">
        <w:rPr>
          <w:rFonts w:ascii="Times New Roman" w:hAnsi="Times New Roman" w:cs="Times New Roman"/>
          <w:sz w:val="24"/>
          <w:szCs w:val="24"/>
        </w:rPr>
        <w:t xml:space="preserve"> is still remarkably resilient.</w:t>
      </w:r>
      <w:r w:rsidR="00495BB6" w:rsidRPr="0043224D">
        <w:rPr>
          <w:rFonts w:ascii="Times New Roman" w:hAnsi="Times New Roman" w:cs="Times New Roman"/>
          <w:sz w:val="24"/>
          <w:szCs w:val="24"/>
        </w:rPr>
        <w:t xml:space="preserve"> </w:t>
      </w:r>
      <w:r w:rsidR="006F1A6E" w:rsidRPr="0043224D">
        <w:rPr>
          <w:rFonts w:ascii="Times New Roman" w:hAnsi="Times New Roman" w:cs="Times New Roman"/>
          <w:sz w:val="24"/>
          <w:szCs w:val="24"/>
        </w:rPr>
        <w:t>Even when there are certain safegua</w:t>
      </w:r>
      <w:r w:rsidR="00E53FD4" w:rsidRPr="0043224D">
        <w:rPr>
          <w:rFonts w:ascii="Times New Roman" w:hAnsi="Times New Roman" w:cs="Times New Roman"/>
          <w:sz w:val="24"/>
          <w:szCs w:val="24"/>
        </w:rPr>
        <w:t>rds protecting the rights of indigenous peoples</w:t>
      </w:r>
      <w:r w:rsidR="006F1A6E" w:rsidRPr="0043224D">
        <w:rPr>
          <w:rFonts w:ascii="Times New Roman" w:hAnsi="Times New Roman" w:cs="Times New Roman"/>
          <w:sz w:val="24"/>
          <w:szCs w:val="24"/>
        </w:rPr>
        <w:t>, for example environmental impact assessments, they are poorly implemented, if they are at all.</w:t>
      </w:r>
      <w:r w:rsidR="006F1A6E" w:rsidRPr="0043224D">
        <w:rPr>
          <w:rStyle w:val="FootnoteReference"/>
          <w:rFonts w:ascii="Times New Roman" w:hAnsi="Times New Roman" w:cs="Times New Roman"/>
          <w:sz w:val="24"/>
          <w:szCs w:val="24"/>
        </w:rPr>
        <w:footnoteReference w:id="167"/>
      </w:r>
      <w:r w:rsidR="006F1A6E" w:rsidRPr="0043224D">
        <w:rPr>
          <w:rFonts w:ascii="Times New Roman" w:hAnsi="Times New Roman" w:cs="Times New Roman"/>
          <w:sz w:val="24"/>
          <w:szCs w:val="24"/>
        </w:rPr>
        <w:t xml:space="preserve"> Indeed, much</w:t>
      </w:r>
      <w:r w:rsidR="00495BB6" w:rsidRPr="0043224D">
        <w:rPr>
          <w:rFonts w:ascii="Times New Roman" w:hAnsi="Times New Roman" w:cs="Times New Roman"/>
          <w:sz w:val="24"/>
          <w:szCs w:val="24"/>
        </w:rPr>
        <w:t xml:space="preserve"> of the case law relating to indigenous and nomadic peoples specifically deals with the</w:t>
      </w:r>
      <w:r w:rsidR="00F41E70" w:rsidRPr="0043224D">
        <w:rPr>
          <w:rFonts w:ascii="Times New Roman" w:hAnsi="Times New Roman" w:cs="Times New Roman"/>
          <w:sz w:val="24"/>
          <w:szCs w:val="24"/>
        </w:rPr>
        <w:t xml:space="preserve"> fallout from this discrepancy.</w:t>
      </w:r>
      <w:r w:rsidR="00495BB6" w:rsidRPr="0043224D">
        <w:rPr>
          <w:rStyle w:val="FootnoteReference"/>
          <w:rFonts w:ascii="Times New Roman" w:hAnsi="Times New Roman" w:cs="Times New Roman"/>
          <w:sz w:val="24"/>
          <w:szCs w:val="24"/>
        </w:rPr>
        <w:footnoteReference w:id="168"/>
      </w:r>
      <w:r w:rsidR="004B720C" w:rsidRPr="0043224D">
        <w:rPr>
          <w:rFonts w:ascii="Times New Roman" w:hAnsi="Times New Roman" w:cs="Times New Roman"/>
          <w:sz w:val="24"/>
          <w:szCs w:val="24"/>
        </w:rPr>
        <w:t xml:space="preserve"> </w:t>
      </w:r>
      <w:r w:rsidR="00495BB6" w:rsidRPr="0043224D">
        <w:rPr>
          <w:rFonts w:ascii="Times New Roman" w:hAnsi="Times New Roman" w:cs="Times New Roman"/>
          <w:sz w:val="24"/>
          <w:szCs w:val="24"/>
        </w:rPr>
        <w:t xml:space="preserve">Furthermore with regards to the tests of necessity and proportionality a </w:t>
      </w:r>
      <w:r w:rsidR="006F1A6E" w:rsidRPr="0043224D">
        <w:rPr>
          <w:rFonts w:ascii="Times New Roman" w:hAnsi="Times New Roman" w:cs="Times New Roman"/>
          <w:sz w:val="24"/>
          <w:szCs w:val="24"/>
        </w:rPr>
        <w:t>further paradox also emerges:</w:t>
      </w:r>
      <w:r w:rsidR="00495BB6" w:rsidRPr="0043224D">
        <w:rPr>
          <w:rFonts w:ascii="Times New Roman" w:hAnsi="Times New Roman" w:cs="Times New Roman"/>
          <w:sz w:val="24"/>
          <w:szCs w:val="24"/>
        </w:rPr>
        <w:t xml:space="preserve"> it is the state that is charged with</w:t>
      </w:r>
      <w:r w:rsidR="006F1A6E" w:rsidRPr="0043224D">
        <w:rPr>
          <w:rFonts w:ascii="Times New Roman" w:hAnsi="Times New Roman" w:cs="Times New Roman"/>
          <w:sz w:val="24"/>
          <w:szCs w:val="24"/>
        </w:rPr>
        <w:t xml:space="preserve"> conducting the tests.</w:t>
      </w:r>
      <w:r w:rsidR="00E53460" w:rsidRPr="0043224D">
        <w:rPr>
          <w:rFonts w:ascii="Times New Roman" w:hAnsi="Times New Roman" w:cs="Times New Roman"/>
          <w:sz w:val="24"/>
          <w:szCs w:val="24"/>
        </w:rPr>
        <w:t xml:space="preserve"> The state therefore is both instigator, and charged with providing a remedy.</w:t>
      </w:r>
      <w:r w:rsidR="006F1A6E" w:rsidRPr="0043224D">
        <w:rPr>
          <w:rFonts w:ascii="Times New Roman" w:hAnsi="Times New Roman" w:cs="Times New Roman"/>
          <w:sz w:val="24"/>
          <w:szCs w:val="24"/>
        </w:rPr>
        <w:t xml:space="preserve"> A state of affairs which may lead to a conflict of interests when</w:t>
      </w:r>
      <w:r w:rsidR="00F35F65" w:rsidRPr="0043224D">
        <w:rPr>
          <w:rFonts w:ascii="Times New Roman" w:hAnsi="Times New Roman" w:cs="Times New Roman"/>
          <w:sz w:val="24"/>
          <w:szCs w:val="24"/>
        </w:rPr>
        <w:t xml:space="preserve"> it is</w:t>
      </w:r>
      <w:r w:rsidR="006F1A6E" w:rsidRPr="0043224D">
        <w:rPr>
          <w:rFonts w:ascii="Times New Roman" w:hAnsi="Times New Roman" w:cs="Times New Roman"/>
          <w:sz w:val="24"/>
          <w:szCs w:val="24"/>
        </w:rPr>
        <w:t xml:space="preserve"> the state itself</w:t>
      </w:r>
      <w:r w:rsidR="00F35F65" w:rsidRPr="0043224D">
        <w:rPr>
          <w:rFonts w:ascii="Times New Roman" w:hAnsi="Times New Roman" w:cs="Times New Roman"/>
          <w:sz w:val="24"/>
          <w:szCs w:val="24"/>
        </w:rPr>
        <w:t xml:space="preserve"> that</w:t>
      </w:r>
      <w:r w:rsidR="006F1A6E" w:rsidRPr="0043224D">
        <w:rPr>
          <w:rFonts w:ascii="Times New Roman" w:hAnsi="Times New Roman" w:cs="Times New Roman"/>
          <w:sz w:val="24"/>
          <w:szCs w:val="24"/>
        </w:rPr>
        <w:t xml:space="preserve"> </w:t>
      </w:r>
      <w:r w:rsidR="00F41E70" w:rsidRPr="0043224D">
        <w:rPr>
          <w:rFonts w:ascii="Times New Roman" w:hAnsi="Times New Roman" w:cs="Times New Roman"/>
          <w:sz w:val="24"/>
          <w:szCs w:val="24"/>
        </w:rPr>
        <w:t>has already</w:t>
      </w:r>
      <w:r w:rsidR="00F35F65" w:rsidRPr="0043224D">
        <w:rPr>
          <w:rFonts w:ascii="Times New Roman" w:hAnsi="Times New Roman" w:cs="Times New Roman"/>
          <w:sz w:val="24"/>
          <w:szCs w:val="24"/>
        </w:rPr>
        <w:t xml:space="preserve"> prescribed the development policies and programmes</w:t>
      </w:r>
      <w:r w:rsidR="00BA6F9A" w:rsidRPr="0043224D">
        <w:rPr>
          <w:rFonts w:ascii="Times New Roman" w:hAnsi="Times New Roman" w:cs="Times New Roman"/>
          <w:sz w:val="24"/>
          <w:szCs w:val="24"/>
        </w:rPr>
        <w:t xml:space="preserve">, often with the set objective of attaining industrial and economic </w:t>
      </w:r>
      <w:r w:rsidR="007C190B" w:rsidRPr="0043224D">
        <w:rPr>
          <w:rFonts w:ascii="Times New Roman" w:hAnsi="Times New Roman" w:cs="Times New Roman"/>
          <w:sz w:val="24"/>
          <w:szCs w:val="24"/>
        </w:rPr>
        <w:t>“</w:t>
      </w:r>
      <w:r w:rsidR="00BA6F9A" w:rsidRPr="0043224D">
        <w:rPr>
          <w:rFonts w:ascii="Times New Roman" w:hAnsi="Times New Roman" w:cs="Times New Roman"/>
          <w:sz w:val="24"/>
          <w:szCs w:val="24"/>
        </w:rPr>
        <w:t>take off</w:t>
      </w:r>
      <w:r w:rsidR="007C190B" w:rsidRPr="0043224D">
        <w:rPr>
          <w:rFonts w:ascii="Times New Roman" w:hAnsi="Times New Roman" w:cs="Times New Roman"/>
          <w:sz w:val="24"/>
          <w:szCs w:val="24"/>
        </w:rPr>
        <w:t>”</w:t>
      </w:r>
      <w:r w:rsidR="00BA6F9A" w:rsidRPr="0043224D">
        <w:rPr>
          <w:rFonts w:ascii="Times New Roman" w:hAnsi="Times New Roman" w:cs="Times New Roman"/>
          <w:sz w:val="24"/>
          <w:szCs w:val="24"/>
        </w:rPr>
        <w:t xml:space="preserve"> whatever the costs to its indigenous</w:t>
      </w:r>
      <w:r w:rsidR="00A656C5" w:rsidRPr="0043224D">
        <w:rPr>
          <w:rFonts w:ascii="Times New Roman" w:hAnsi="Times New Roman" w:cs="Times New Roman"/>
          <w:sz w:val="24"/>
          <w:szCs w:val="24"/>
        </w:rPr>
        <w:t>,</w:t>
      </w:r>
      <w:r w:rsidR="00BA6F9A" w:rsidRPr="0043224D">
        <w:rPr>
          <w:rFonts w:ascii="Times New Roman" w:hAnsi="Times New Roman" w:cs="Times New Roman"/>
          <w:sz w:val="24"/>
          <w:szCs w:val="24"/>
        </w:rPr>
        <w:t xml:space="preserve"> and </w:t>
      </w:r>
      <w:r w:rsidR="00A656C5" w:rsidRPr="0043224D">
        <w:rPr>
          <w:rFonts w:ascii="Times New Roman" w:hAnsi="Times New Roman" w:cs="Times New Roman"/>
          <w:sz w:val="24"/>
          <w:szCs w:val="24"/>
        </w:rPr>
        <w:t xml:space="preserve">indigenous </w:t>
      </w:r>
      <w:r w:rsidR="00BA6F9A" w:rsidRPr="0043224D">
        <w:rPr>
          <w:rFonts w:ascii="Times New Roman" w:hAnsi="Times New Roman" w:cs="Times New Roman"/>
          <w:sz w:val="24"/>
          <w:szCs w:val="24"/>
        </w:rPr>
        <w:t>nomadic populations</w:t>
      </w:r>
      <w:r w:rsidR="00F41E70" w:rsidRPr="0043224D">
        <w:rPr>
          <w:rFonts w:ascii="Times New Roman" w:hAnsi="Times New Roman" w:cs="Times New Roman"/>
          <w:sz w:val="24"/>
          <w:szCs w:val="24"/>
        </w:rPr>
        <w:t>.</w:t>
      </w:r>
      <w:r w:rsidR="00BA6F9A" w:rsidRPr="0043224D">
        <w:rPr>
          <w:rStyle w:val="FootnoteReference"/>
          <w:rFonts w:ascii="Times New Roman" w:hAnsi="Times New Roman" w:cs="Times New Roman"/>
          <w:sz w:val="24"/>
          <w:szCs w:val="24"/>
        </w:rPr>
        <w:footnoteReference w:id="169"/>
      </w:r>
      <w:r w:rsidR="00F35F65" w:rsidRPr="0043224D">
        <w:rPr>
          <w:rFonts w:ascii="Times New Roman" w:hAnsi="Times New Roman" w:cs="Times New Roman"/>
          <w:sz w:val="24"/>
          <w:szCs w:val="24"/>
        </w:rPr>
        <w:t xml:space="preserve"> </w:t>
      </w:r>
      <w:r w:rsidR="00495BB6" w:rsidRPr="0043224D">
        <w:rPr>
          <w:rFonts w:ascii="Times New Roman" w:hAnsi="Times New Roman" w:cs="Times New Roman"/>
          <w:sz w:val="24"/>
          <w:szCs w:val="24"/>
        </w:rPr>
        <w:t xml:space="preserve">  </w:t>
      </w:r>
      <w:r w:rsidR="004B720C" w:rsidRPr="0043224D">
        <w:rPr>
          <w:rFonts w:ascii="Times New Roman" w:hAnsi="Times New Roman" w:cs="Times New Roman"/>
          <w:sz w:val="24"/>
          <w:szCs w:val="24"/>
        </w:rPr>
        <w:t xml:space="preserve">  </w:t>
      </w:r>
    </w:p>
    <w:p w:rsidR="009D441F" w:rsidRPr="0043224D" w:rsidRDefault="00AE00DA"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Additionally, </w:t>
      </w:r>
      <w:r w:rsidR="0092183C" w:rsidRPr="0043224D">
        <w:rPr>
          <w:rFonts w:ascii="Times New Roman" w:hAnsi="Times New Roman" w:cs="Times New Roman"/>
          <w:sz w:val="24"/>
          <w:szCs w:val="24"/>
        </w:rPr>
        <w:t>Kälin also points out that subparagraph (c) prohibits arbitrary displacement</w:t>
      </w:r>
      <w:r w:rsidR="00503B00" w:rsidRPr="0043224D">
        <w:rPr>
          <w:rFonts w:ascii="Times New Roman" w:hAnsi="Times New Roman" w:cs="Times New Roman"/>
          <w:sz w:val="24"/>
          <w:szCs w:val="24"/>
        </w:rPr>
        <w:t xml:space="preserve"> conditionally</w:t>
      </w:r>
      <w:r w:rsidR="0092183C" w:rsidRPr="0043224D">
        <w:rPr>
          <w:rFonts w:ascii="Times New Roman" w:hAnsi="Times New Roman" w:cs="Times New Roman"/>
          <w:sz w:val="24"/>
          <w:szCs w:val="24"/>
        </w:rPr>
        <w:t>, that is, development cannot be used to disguise human rights violations.</w:t>
      </w:r>
      <w:r w:rsidR="00503B00" w:rsidRPr="0043224D">
        <w:rPr>
          <w:rStyle w:val="FootnoteReference"/>
          <w:rFonts w:ascii="Times New Roman" w:hAnsi="Times New Roman" w:cs="Times New Roman"/>
          <w:sz w:val="24"/>
          <w:szCs w:val="24"/>
        </w:rPr>
        <w:footnoteReference w:id="170"/>
      </w:r>
      <w:r w:rsidR="0092183C" w:rsidRPr="0043224D">
        <w:rPr>
          <w:rFonts w:ascii="Times New Roman" w:hAnsi="Times New Roman" w:cs="Times New Roman"/>
          <w:sz w:val="24"/>
          <w:szCs w:val="24"/>
        </w:rPr>
        <w:t xml:space="preserve"> </w:t>
      </w:r>
      <w:r w:rsidR="00F632E6" w:rsidRPr="0043224D">
        <w:rPr>
          <w:rFonts w:ascii="Times New Roman" w:hAnsi="Times New Roman" w:cs="Times New Roman"/>
          <w:sz w:val="24"/>
          <w:szCs w:val="24"/>
        </w:rPr>
        <w:t xml:space="preserve">As </w:t>
      </w:r>
      <w:r w:rsidR="0092183C" w:rsidRPr="0043224D">
        <w:rPr>
          <w:rFonts w:ascii="Times New Roman" w:hAnsi="Times New Roman" w:cs="Times New Roman"/>
          <w:sz w:val="24"/>
          <w:szCs w:val="24"/>
        </w:rPr>
        <w:t>stated earlier</w:t>
      </w:r>
      <w:r w:rsidR="00F632E6" w:rsidRPr="0043224D">
        <w:rPr>
          <w:rFonts w:ascii="Times New Roman" w:hAnsi="Times New Roman" w:cs="Times New Roman"/>
          <w:sz w:val="24"/>
          <w:szCs w:val="24"/>
        </w:rPr>
        <w:t>, it is not difficult for states to justify</w:t>
      </w:r>
      <w:r w:rsidR="003866F1" w:rsidRPr="0043224D">
        <w:rPr>
          <w:rFonts w:ascii="Times New Roman" w:hAnsi="Times New Roman" w:cs="Times New Roman"/>
          <w:sz w:val="24"/>
          <w:szCs w:val="24"/>
        </w:rPr>
        <w:t>,</w:t>
      </w:r>
      <w:r w:rsidR="00F632E6" w:rsidRPr="0043224D">
        <w:rPr>
          <w:rFonts w:ascii="Times New Roman" w:hAnsi="Times New Roman" w:cs="Times New Roman"/>
          <w:sz w:val="24"/>
          <w:szCs w:val="24"/>
        </w:rPr>
        <w:t xml:space="preserve"> if they so wish</w:t>
      </w:r>
      <w:r w:rsidR="003866F1" w:rsidRPr="0043224D">
        <w:rPr>
          <w:rFonts w:ascii="Times New Roman" w:hAnsi="Times New Roman" w:cs="Times New Roman"/>
          <w:sz w:val="24"/>
          <w:szCs w:val="24"/>
        </w:rPr>
        <w:t>,</w:t>
      </w:r>
      <w:r w:rsidR="00F632E6" w:rsidRPr="0043224D">
        <w:rPr>
          <w:rFonts w:ascii="Times New Roman" w:hAnsi="Times New Roman" w:cs="Times New Roman"/>
          <w:sz w:val="24"/>
          <w:szCs w:val="24"/>
        </w:rPr>
        <w:t xml:space="preserve"> the necessity</w:t>
      </w:r>
      <w:r w:rsidR="00097C5C" w:rsidRPr="0043224D">
        <w:rPr>
          <w:rFonts w:ascii="Times New Roman" w:hAnsi="Times New Roman" w:cs="Times New Roman"/>
          <w:sz w:val="24"/>
          <w:szCs w:val="24"/>
        </w:rPr>
        <w:t xml:space="preserve"> of</w:t>
      </w:r>
      <w:r w:rsidR="00F632E6" w:rsidRPr="0043224D">
        <w:rPr>
          <w:rFonts w:ascii="Times New Roman" w:hAnsi="Times New Roman" w:cs="Times New Roman"/>
          <w:sz w:val="24"/>
          <w:szCs w:val="24"/>
        </w:rPr>
        <w:t xml:space="preserve"> development displacement for the </w:t>
      </w:r>
      <w:r w:rsidR="00FF03C1" w:rsidRPr="0043224D">
        <w:rPr>
          <w:rFonts w:ascii="Times New Roman" w:hAnsi="Times New Roman" w:cs="Times New Roman"/>
          <w:sz w:val="24"/>
          <w:szCs w:val="24"/>
        </w:rPr>
        <w:t>“</w:t>
      </w:r>
      <w:r w:rsidR="00F632E6" w:rsidRPr="0043224D">
        <w:rPr>
          <w:rFonts w:ascii="Times New Roman" w:hAnsi="Times New Roman" w:cs="Times New Roman"/>
          <w:sz w:val="24"/>
          <w:szCs w:val="24"/>
        </w:rPr>
        <w:t>greater public</w:t>
      </w:r>
      <w:r w:rsidR="00097C5C" w:rsidRPr="0043224D">
        <w:rPr>
          <w:rFonts w:ascii="Times New Roman" w:hAnsi="Times New Roman" w:cs="Times New Roman"/>
          <w:sz w:val="24"/>
          <w:szCs w:val="24"/>
        </w:rPr>
        <w:t xml:space="preserve"> interest and</w:t>
      </w:r>
      <w:r w:rsidR="00F632E6" w:rsidRPr="0043224D">
        <w:rPr>
          <w:rFonts w:ascii="Times New Roman" w:hAnsi="Times New Roman" w:cs="Times New Roman"/>
          <w:sz w:val="24"/>
          <w:szCs w:val="24"/>
        </w:rPr>
        <w:t xml:space="preserve"> good</w:t>
      </w:r>
      <w:r w:rsidR="00FF03C1" w:rsidRPr="0043224D">
        <w:rPr>
          <w:rFonts w:ascii="Times New Roman" w:hAnsi="Times New Roman" w:cs="Times New Roman"/>
          <w:sz w:val="24"/>
          <w:szCs w:val="24"/>
        </w:rPr>
        <w:t>”</w:t>
      </w:r>
      <w:r w:rsidR="00F632E6" w:rsidRPr="0043224D">
        <w:rPr>
          <w:rFonts w:ascii="Times New Roman" w:hAnsi="Times New Roman" w:cs="Times New Roman"/>
          <w:sz w:val="24"/>
          <w:szCs w:val="24"/>
        </w:rPr>
        <w:t xml:space="preserve">, </w:t>
      </w:r>
      <w:r w:rsidR="00097C5C" w:rsidRPr="0043224D">
        <w:rPr>
          <w:rFonts w:ascii="Times New Roman" w:hAnsi="Times New Roman" w:cs="Times New Roman"/>
          <w:sz w:val="24"/>
          <w:szCs w:val="24"/>
        </w:rPr>
        <w:t xml:space="preserve">knowing well that when a connection to the land is severed it spells the beginning of the end for </w:t>
      </w:r>
      <w:r w:rsidR="008702DF" w:rsidRPr="0043224D">
        <w:rPr>
          <w:rFonts w:ascii="Times New Roman" w:hAnsi="Times New Roman" w:cs="Times New Roman"/>
          <w:sz w:val="24"/>
          <w:szCs w:val="24"/>
        </w:rPr>
        <w:t xml:space="preserve">indigenous </w:t>
      </w:r>
      <w:r w:rsidR="00097C5C" w:rsidRPr="0043224D">
        <w:rPr>
          <w:rFonts w:ascii="Times New Roman" w:hAnsi="Times New Roman" w:cs="Times New Roman"/>
          <w:sz w:val="24"/>
          <w:szCs w:val="24"/>
        </w:rPr>
        <w:t>cultures</w:t>
      </w:r>
      <w:r w:rsidR="00257573" w:rsidRPr="0043224D">
        <w:rPr>
          <w:rFonts w:ascii="Times New Roman" w:hAnsi="Times New Roman" w:cs="Times New Roman"/>
          <w:sz w:val="24"/>
          <w:szCs w:val="24"/>
        </w:rPr>
        <w:t xml:space="preserve">. </w:t>
      </w:r>
    </w:p>
    <w:p w:rsidR="009D441F" w:rsidRPr="00C71D55" w:rsidRDefault="002A5666" w:rsidP="0043224D">
      <w:pPr>
        <w:pStyle w:val="Heading3"/>
        <w:spacing w:line="360" w:lineRule="auto"/>
      </w:pPr>
      <w:bookmarkStart w:id="33" w:name="_Toc399848365"/>
      <w:r>
        <w:t>5.2.</w:t>
      </w:r>
      <w:r w:rsidR="009D6EE2">
        <w:t>2</w:t>
      </w:r>
      <w:r w:rsidR="004F5E7E">
        <w:t xml:space="preserve"> </w:t>
      </w:r>
      <w:r w:rsidR="004F5E7E" w:rsidRPr="00C71D55">
        <w:t>Proportionality</w:t>
      </w:r>
      <w:r w:rsidR="0022785D" w:rsidRPr="00C71D55">
        <w:t xml:space="preserve"> and </w:t>
      </w:r>
      <w:r w:rsidR="008C02E0" w:rsidRPr="00C71D55">
        <w:t>Necessity</w:t>
      </w:r>
      <w:bookmarkEnd w:id="33"/>
      <w:r w:rsidR="0022785D" w:rsidRPr="00C71D55">
        <w:t xml:space="preserve"> </w:t>
      </w:r>
      <w:r w:rsidR="009D441F" w:rsidRPr="00C71D55">
        <w:t xml:space="preserve"> </w:t>
      </w:r>
    </w:p>
    <w:p w:rsidR="00E53460" w:rsidRPr="0043224D" w:rsidRDefault="00F41E70"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 issues that subparagraph</w:t>
      </w:r>
      <w:r w:rsidR="00257573" w:rsidRPr="0043224D">
        <w:rPr>
          <w:rFonts w:ascii="Times New Roman" w:hAnsi="Times New Roman" w:cs="Times New Roman"/>
          <w:sz w:val="24"/>
          <w:szCs w:val="24"/>
        </w:rPr>
        <w:t xml:space="preserve"> (c)</w:t>
      </w:r>
      <w:r w:rsidR="00E53460" w:rsidRPr="0043224D">
        <w:rPr>
          <w:rFonts w:ascii="Times New Roman" w:hAnsi="Times New Roman" w:cs="Times New Roman"/>
          <w:sz w:val="24"/>
          <w:szCs w:val="24"/>
        </w:rPr>
        <w:t xml:space="preserve"> of Principle 6</w:t>
      </w:r>
      <w:r w:rsidR="00257573" w:rsidRPr="0043224D">
        <w:rPr>
          <w:rFonts w:ascii="Times New Roman" w:hAnsi="Times New Roman" w:cs="Times New Roman"/>
          <w:sz w:val="24"/>
          <w:szCs w:val="24"/>
        </w:rPr>
        <w:t xml:space="preserve"> brings to light go</w:t>
      </w:r>
      <w:r w:rsidR="00E53460" w:rsidRPr="0043224D">
        <w:rPr>
          <w:rFonts w:ascii="Times New Roman" w:hAnsi="Times New Roman" w:cs="Times New Roman"/>
          <w:sz w:val="24"/>
          <w:szCs w:val="24"/>
        </w:rPr>
        <w:t>es</w:t>
      </w:r>
      <w:r w:rsidR="00257573" w:rsidRPr="0043224D">
        <w:rPr>
          <w:rFonts w:ascii="Times New Roman" w:hAnsi="Times New Roman" w:cs="Times New Roman"/>
          <w:sz w:val="24"/>
          <w:szCs w:val="24"/>
        </w:rPr>
        <w:t xml:space="preserve"> right to the heart of developm</w:t>
      </w:r>
      <w:r w:rsidR="00E53FD4" w:rsidRPr="0043224D">
        <w:rPr>
          <w:rFonts w:ascii="Times New Roman" w:hAnsi="Times New Roman" w:cs="Times New Roman"/>
          <w:sz w:val="24"/>
          <w:szCs w:val="24"/>
        </w:rPr>
        <w:t>ent-induced displacement of indigenous peoples</w:t>
      </w:r>
      <w:r w:rsidR="00257573" w:rsidRPr="0043224D">
        <w:rPr>
          <w:rFonts w:ascii="Times New Roman" w:hAnsi="Times New Roman" w:cs="Times New Roman"/>
          <w:sz w:val="24"/>
          <w:szCs w:val="24"/>
        </w:rPr>
        <w:t xml:space="preserve">: The </w:t>
      </w:r>
      <w:r w:rsidR="009D441F" w:rsidRPr="0043224D">
        <w:rPr>
          <w:rFonts w:ascii="Times New Roman" w:hAnsi="Times New Roman" w:cs="Times New Roman"/>
          <w:sz w:val="24"/>
          <w:szCs w:val="24"/>
        </w:rPr>
        <w:t xml:space="preserve">fair </w:t>
      </w:r>
      <w:r w:rsidR="00257573" w:rsidRPr="0043224D">
        <w:rPr>
          <w:rFonts w:ascii="Times New Roman" w:hAnsi="Times New Roman" w:cs="Times New Roman"/>
          <w:sz w:val="24"/>
          <w:szCs w:val="24"/>
        </w:rPr>
        <w:t>balancing of rights</w:t>
      </w:r>
      <w:r w:rsidR="009D441F" w:rsidRPr="0043224D">
        <w:rPr>
          <w:rFonts w:ascii="Times New Roman" w:hAnsi="Times New Roman" w:cs="Times New Roman"/>
          <w:sz w:val="24"/>
          <w:szCs w:val="24"/>
        </w:rPr>
        <w:t xml:space="preserve"> between the demands of the state’s interest in development</w:t>
      </w:r>
      <w:r w:rsidR="00E21430" w:rsidRPr="0043224D">
        <w:rPr>
          <w:rFonts w:ascii="Times New Roman" w:hAnsi="Times New Roman" w:cs="Times New Roman"/>
          <w:sz w:val="24"/>
          <w:szCs w:val="24"/>
        </w:rPr>
        <w:t>, in the interests of the majority of its citizens, and the protection of minorities fundamental rights</w:t>
      </w:r>
      <w:r w:rsidR="00E53FD4" w:rsidRPr="0043224D">
        <w:rPr>
          <w:rFonts w:ascii="Times New Roman" w:hAnsi="Times New Roman" w:cs="Times New Roman"/>
          <w:sz w:val="24"/>
          <w:szCs w:val="24"/>
        </w:rPr>
        <w:t>. In this case, the right of indigenous peoples</w:t>
      </w:r>
      <w:r w:rsidR="00E21430" w:rsidRPr="0043224D">
        <w:rPr>
          <w:rFonts w:ascii="Times New Roman" w:hAnsi="Times New Roman" w:cs="Times New Roman"/>
          <w:sz w:val="24"/>
          <w:szCs w:val="24"/>
        </w:rPr>
        <w:t xml:space="preserve"> not to be </w:t>
      </w:r>
      <w:r w:rsidR="00522607" w:rsidRPr="0043224D">
        <w:rPr>
          <w:rFonts w:ascii="Times New Roman" w:hAnsi="Times New Roman" w:cs="Times New Roman"/>
          <w:sz w:val="24"/>
          <w:szCs w:val="24"/>
        </w:rPr>
        <w:t>arbitrarily displaced</w:t>
      </w:r>
      <w:r w:rsidR="00E21430" w:rsidRPr="0043224D">
        <w:rPr>
          <w:rFonts w:ascii="Times New Roman" w:hAnsi="Times New Roman" w:cs="Times New Roman"/>
          <w:sz w:val="24"/>
          <w:szCs w:val="24"/>
        </w:rPr>
        <w:t>.</w:t>
      </w:r>
      <w:r w:rsidR="009D441F" w:rsidRPr="0043224D">
        <w:rPr>
          <w:rFonts w:ascii="Times New Roman" w:hAnsi="Times New Roman" w:cs="Times New Roman"/>
          <w:sz w:val="24"/>
          <w:szCs w:val="24"/>
        </w:rPr>
        <w:t xml:space="preserve"> </w:t>
      </w:r>
      <w:r w:rsidR="00257573" w:rsidRPr="0043224D">
        <w:rPr>
          <w:rFonts w:ascii="Times New Roman" w:hAnsi="Times New Roman" w:cs="Times New Roman"/>
          <w:sz w:val="24"/>
          <w:szCs w:val="24"/>
        </w:rPr>
        <w:t xml:space="preserve"> </w:t>
      </w:r>
      <w:r w:rsidR="00E21430" w:rsidRPr="0043224D">
        <w:rPr>
          <w:rFonts w:ascii="Times New Roman" w:hAnsi="Times New Roman" w:cs="Times New Roman"/>
          <w:sz w:val="24"/>
          <w:szCs w:val="24"/>
        </w:rPr>
        <w:t>The</w:t>
      </w:r>
      <w:r w:rsidR="009D441F" w:rsidRPr="0043224D">
        <w:rPr>
          <w:rFonts w:ascii="Times New Roman" w:hAnsi="Times New Roman" w:cs="Times New Roman"/>
          <w:sz w:val="24"/>
          <w:szCs w:val="24"/>
        </w:rPr>
        <w:t xml:space="preserve"> principle</w:t>
      </w:r>
      <w:r w:rsidR="00AE00DA" w:rsidRPr="0043224D">
        <w:rPr>
          <w:rFonts w:ascii="Times New Roman" w:hAnsi="Times New Roman" w:cs="Times New Roman"/>
          <w:sz w:val="24"/>
          <w:szCs w:val="24"/>
        </w:rPr>
        <w:t xml:space="preserve"> or doctrine</w:t>
      </w:r>
      <w:r w:rsidR="009D441F" w:rsidRPr="0043224D">
        <w:rPr>
          <w:rFonts w:ascii="Times New Roman" w:hAnsi="Times New Roman" w:cs="Times New Roman"/>
          <w:sz w:val="24"/>
          <w:szCs w:val="24"/>
        </w:rPr>
        <w:t xml:space="preserve"> of</w:t>
      </w:r>
      <w:r w:rsidR="00257573" w:rsidRPr="0043224D">
        <w:rPr>
          <w:rFonts w:ascii="Times New Roman" w:hAnsi="Times New Roman" w:cs="Times New Roman"/>
          <w:sz w:val="24"/>
          <w:szCs w:val="24"/>
        </w:rPr>
        <w:t xml:space="preserve"> proportionalit</w:t>
      </w:r>
      <w:r w:rsidR="0022785D" w:rsidRPr="0043224D">
        <w:rPr>
          <w:rFonts w:ascii="Times New Roman" w:hAnsi="Times New Roman" w:cs="Times New Roman"/>
          <w:sz w:val="24"/>
          <w:szCs w:val="24"/>
        </w:rPr>
        <w:t xml:space="preserve">y determines the legality or lawfulness of an </w:t>
      </w:r>
      <w:r w:rsidR="00E53460" w:rsidRPr="0043224D">
        <w:rPr>
          <w:rFonts w:ascii="Times New Roman" w:hAnsi="Times New Roman" w:cs="Times New Roman"/>
          <w:sz w:val="24"/>
          <w:szCs w:val="24"/>
        </w:rPr>
        <w:t>act, that</w:t>
      </w:r>
      <w:r w:rsidR="006210D0" w:rsidRPr="0043224D">
        <w:rPr>
          <w:rFonts w:ascii="Times New Roman" w:hAnsi="Times New Roman" w:cs="Times New Roman"/>
          <w:sz w:val="24"/>
          <w:szCs w:val="24"/>
        </w:rPr>
        <w:t xml:space="preserve"> is</w:t>
      </w:r>
      <w:r w:rsidR="00E53460" w:rsidRPr="0043224D">
        <w:rPr>
          <w:rFonts w:ascii="Times New Roman" w:hAnsi="Times New Roman" w:cs="Times New Roman"/>
          <w:sz w:val="24"/>
          <w:szCs w:val="24"/>
        </w:rPr>
        <w:t>,</w:t>
      </w:r>
      <w:r w:rsidR="006210D0" w:rsidRPr="0043224D">
        <w:rPr>
          <w:rFonts w:ascii="Times New Roman" w:hAnsi="Times New Roman" w:cs="Times New Roman"/>
          <w:sz w:val="24"/>
          <w:szCs w:val="24"/>
        </w:rPr>
        <w:t xml:space="preserve"> whether or not the effects of </w:t>
      </w:r>
      <w:r w:rsidR="00AE00DA" w:rsidRPr="0043224D">
        <w:rPr>
          <w:rFonts w:ascii="Times New Roman" w:hAnsi="Times New Roman" w:cs="Times New Roman"/>
          <w:sz w:val="24"/>
          <w:szCs w:val="24"/>
        </w:rPr>
        <w:t>an action</w:t>
      </w:r>
      <w:r w:rsidR="00E53460" w:rsidRPr="0043224D">
        <w:rPr>
          <w:rFonts w:ascii="Times New Roman" w:hAnsi="Times New Roman" w:cs="Times New Roman"/>
          <w:sz w:val="24"/>
          <w:szCs w:val="24"/>
        </w:rPr>
        <w:t xml:space="preserve"> or policy is disproportionate to its</w:t>
      </w:r>
      <w:r w:rsidR="0022785D" w:rsidRPr="0043224D">
        <w:rPr>
          <w:rFonts w:ascii="Times New Roman" w:hAnsi="Times New Roman" w:cs="Times New Roman"/>
          <w:sz w:val="24"/>
          <w:szCs w:val="24"/>
        </w:rPr>
        <w:t>.</w:t>
      </w:r>
      <w:r w:rsidR="00E53460" w:rsidRPr="0043224D">
        <w:rPr>
          <w:rFonts w:ascii="Times New Roman" w:hAnsi="Times New Roman" w:cs="Times New Roman"/>
          <w:sz w:val="24"/>
          <w:szCs w:val="24"/>
        </w:rPr>
        <w:t xml:space="preserve"> It is by now a recognised internationally legal rule in international law </w:t>
      </w:r>
      <w:r w:rsidR="00E53460" w:rsidRPr="0043224D">
        <w:rPr>
          <w:rStyle w:val="FootnoteReference"/>
          <w:rFonts w:ascii="Times New Roman" w:hAnsi="Times New Roman" w:cs="Times New Roman"/>
          <w:sz w:val="24"/>
          <w:szCs w:val="24"/>
        </w:rPr>
        <w:footnoteReference w:id="171"/>
      </w:r>
      <w:r w:rsidR="00E53460" w:rsidRPr="0043224D">
        <w:rPr>
          <w:rFonts w:ascii="Times New Roman" w:hAnsi="Times New Roman" w:cs="Times New Roman"/>
          <w:sz w:val="24"/>
          <w:szCs w:val="24"/>
        </w:rPr>
        <w:t xml:space="preserve"> </w:t>
      </w:r>
    </w:p>
    <w:p w:rsidR="00AF3E40" w:rsidRPr="0043224D" w:rsidRDefault="006210D0"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In accordance with international human rights laws and treaties</w:t>
      </w:r>
      <w:r w:rsidR="00AE00DA" w:rsidRPr="0043224D">
        <w:rPr>
          <w:rFonts w:ascii="Times New Roman" w:hAnsi="Times New Roman" w:cs="Times New Roman"/>
          <w:sz w:val="24"/>
          <w:szCs w:val="24"/>
        </w:rPr>
        <w:t>,</w:t>
      </w:r>
      <w:r w:rsidRPr="0043224D">
        <w:rPr>
          <w:rFonts w:ascii="Times New Roman" w:hAnsi="Times New Roman" w:cs="Times New Roman"/>
          <w:sz w:val="24"/>
          <w:szCs w:val="24"/>
        </w:rPr>
        <w:t xml:space="preserve"> states may impose limitations</w:t>
      </w:r>
      <w:r w:rsidR="00522607" w:rsidRPr="0043224D">
        <w:rPr>
          <w:rFonts w:ascii="Times New Roman" w:hAnsi="Times New Roman" w:cs="Times New Roman"/>
          <w:sz w:val="24"/>
          <w:szCs w:val="24"/>
        </w:rPr>
        <w:t xml:space="preserve"> and restrictions</w:t>
      </w:r>
      <w:r w:rsidRPr="0043224D">
        <w:rPr>
          <w:rFonts w:ascii="Times New Roman" w:hAnsi="Times New Roman" w:cs="Times New Roman"/>
          <w:sz w:val="24"/>
          <w:szCs w:val="24"/>
        </w:rPr>
        <w:t xml:space="preserve"> o</w:t>
      </w:r>
      <w:r w:rsidR="00836742" w:rsidRPr="0043224D">
        <w:rPr>
          <w:rFonts w:ascii="Times New Roman" w:hAnsi="Times New Roman" w:cs="Times New Roman"/>
          <w:sz w:val="24"/>
          <w:szCs w:val="24"/>
        </w:rPr>
        <w:t>n the exercise of human rights.</w:t>
      </w:r>
      <w:r w:rsidRPr="0043224D">
        <w:rPr>
          <w:rStyle w:val="FootnoteReference"/>
          <w:rFonts w:ascii="Times New Roman" w:hAnsi="Times New Roman" w:cs="Times New Roman"/>
          <w:sz w:val="24"/>
          <w:szCs w:val="24"/>
        </w:rPr>
        <w:footnoteReference w:id="172"/>
      </w:r>
      <w:r w:rsidR="00B73951" w:rsidRPr="0043224D">
        <w:rPr>
          <w:rFonts w:ascii="Times New Roman" w:hAnsi="Times New Roman" w:cs="Times New Roman"/>
          <w:sz w:val="24"/>
          <w:szCs w:val="24"/>
        </w:rPr>
        <w:t xml:space="preserve"> </w:t>
      </w:r>
      <w:r w:rsidR="00112183" w:rsidRPr="0043224D">
        <w:rPr>
          <w:rFonts w:ascii="Times New Roman" w:hAnsi="Times New Roman" w:cs="Times New Roman"/>
          <w:sz w:val="24"/>
          <w:szCs w:val="24"/>
        </w:rPr>
        <w:t xml:space="preserve"> </w:t>
      </w:r>
      <w:r w:rsidR="00C76849" w:rsidRPr="0043224D">
        <w:rPr>
          <w:rFonts w:ascii="Times New Roman" w:hAnsi="Times New Roman" w:cs="Times New Roman"/>
          <w:sz w:val="24"/>
          <w:szCs w:val="24"/>
        </w:rPr>
        <w:t xml:space="preserve">For instance, Article 12 </w:t>
      </w:r>
      <w:r w:rsidR="007F3792" w:rsidRPr="0043224D">
        <w:rPr>
          <w:rFonts w:ascii="Times New Roman" w:hAnsi="Times New Roman" w:cs="Times New Roman"/>
          <w:sz w:val="24"/>
          <w:szCs w:val="24"/>
        </w:rPr>
        <w:t xml:space="preserve">(1) </w:t>
      </w:r>
      <w:r w:rsidR="00C76849" w:rsidRPr="0043224D">
        <w:rPr>
          <w:rFonts w:ascii="Times New Roman" w:hAnsi="Times New Roman" w:cs="Times New Roman"/>
          <w:sz w:val="24"/>
          <w:szCs w:val="24"/>
        </w:rPr>
        <w:t xml:space="preserve">of the </w:t>
      </w:r>
      <w:r w:rsidR="004D7F8B">
        <w:rPr>
          <w:rFonts w:ascii="Times New Roman" w:hAnsi="Times New Roman" w:cs="Times New Roman"/>
          <w:sz w:val="24"/>
          <w:szCs w:val="24"/>
        </w:rPr>
        <w:t>ICC</w:t>
      </w:r>
      <w:r w:rsidR="00E53460" w:rsidRPr="0043224D">
        <w:rPr>
          <w:rFonts w:ascii="Times New Roman" w:hAnsi="Times New Roman" w:cs="Times New Roman"/>
          <w:sz w:val="24"/>
          <w:szCs w:val="24"/>
        </w:rPr>
        <w:t xml:space="preserve">PR </w:t>
      </w:r>
      <w:r w:rsidR="007F3792" w:rsidRPr="0043224D">
        <w:rPr>
          <w:rFonts w:ascii="Times New Roman" w:hAnsi="Times New Roman" w:cs="Times New Roman"/>
          <w:sz w:val="24"/>
          <w:szCs w:val="24"/>
        </w:rPr>
        <w:t>states that</w:t>
      </w:r>
      <w:r w:rsidR="007F3792" w:rsidRPr="0043224D">
        <w:rPr>
          <w:rFonts w:ascii="Times New Roman" w:hAnsi="Times New Roman" w:cs="Times New Roman"/>
          <w:sz w:val="24"/>
          <w:szCs w:val="24"/>
          <w:shd w:val="clear" w:color="auto" w:fill="FFFFFF"/>
        </w:rPr>
        <w:t xml:space="preserve"> “Everyone lawfully within the territory of a State shall, within that territory, have the right to liberty of movement and fr</w:t>
      </w:r>
      <w:r w:rsidR="00836742" w:rsidRPr="0043224D">
        <w:rPr>
          <w:rFonts w:ascii="Times New Roman" w:hAnsi="Times New Roman" w:cs="Times New Roman"/>
          <w:sz w:val="24"/>
          <w:szCs w:val="24"/>
          <w:shd w:val="clear" w:color="auto" w:fill="FFFFFF"/>
        </w:rPr>
        <w:t>eedom to choose his residence.”</w:t>
      </w:r>
      <w:r w:rsidR="007F3792" w:rsidRPr="0043224D">
        <w:rPr>
          <w:rStyle w:val="FootnoteReference"/>
          <w:rFonts w:ascii="Times New Roman" w:hAnsi="Times New Roman" w:cs="Times New Roman"/>
          <w:sz w:val="24"/>
          <w:szCs w:val="24"/>
          <w:shd w:val="clear" w:color="auto" w:fill="FFFFFF"/>
        </w:rPr>
        <w:footnoteReference w:id="173"/>
      </w:r>
      <w:r w:rsidR="007F3792" w:rsidRPr="0043224D">
        <w:rPr>
          <w:rFonts w:ascii="Times New Roman" w:hAnsi="Times New Roman" w:cs="Times New Roman"/>
          <w:sz w:val="24"/>
          <w:szCs w:val="24"/>
        </w:rPr>
        <w:t xml:space="preserve"> </w:t>
      </w:r>
      <w:r w:rsidR="00C76849" w:rsidRPr="0043224D">
        <w:rPr>
          <w:rFonts w:ascii="Times New Roman" w:hAnsi="Times New Roman" w:cs="Times New Roman"/>
          <w:sz w:val="24"/>
          <w:szCs w:val="24"/>
        </w:rPr>
        <w:t xml:space="preserve"> </w:t>
      </w:r>
      <w:r w:rsidR="007F3792" w:rsidRPr="0043224D">
        <w:rPr>
          <w:rFonts w:ascii="Times New Roman" w:hAnsi="Times New Roman" w:cs="Times New Roman"/>
          <w:sz w:val="24"/>
          <w:szCs w:val="24"/>
        </w:rPr>
        <w:t xml:space="preserve">While clause three of the </w:t>
      </w:r>
      <w:r w:rsidR="00BC3E49" w:rsidRPr="0043224D">
        <w:rPr>
          <w:rFonts w:ascii="Times New Roman" w:hAnsi="Times New Roman" w:cs="Times New Roman"/>
          <w:sz w:val="24"/>
          <w:szCs w:val="24"/>
        </w:rPr>
        <w:t xml:space="preserve">above </w:t>
      </w:r>
      <w:r w:rsidR="007F3792" w:rsidRPr="0043224D">
        <w:rPr>
          <w:rFonts w:ascii="Times New Roman" w:hAnsi="Times New Roman" w:cs="Times New Roman"/>
          <w:sz w:val="24"/>
          <w:szCs w:val="24"/>
        </w:rPr>
        <w:t xml:space="preserve">provision </w:t>
      </w:r>
      <w:r w:rsidR="002608BA" w:rsidRPr="0043224D">
        <w:rPr>
          <w:rFonts w:ascii="Times New Roman" w:hAnsi="Times New Roman" w:cs="Times New Roman"/>
          <w:sz w:val="24"/>
          <w:szCs w:val="24"/>
        </w:rPr>
        <w:t>limits those</w:t>
      </w:r>
      <w:r w:rsidR="007F3792" w:rsidRPr="0043224D">
        <w:rPr>
          <w:rFonts w:ascii="Times New Roman" w:hAnsi="Times New Roman" w:cs="Times New Roman"/>
          <w:sz w:val="24"/>
          <w:szCs w:val="24"/>
        </w:rPr>
        <w:t xml:space="preserve"> rights in</w:t>
      </w:r>
      <w:r w:rsidR="00AE00DA" w:rsidRPr="0043224D">
        <w:rPr>
          <w:rFonts w:ascii="Times New Roman" w:hAnsi="Times New Roman" w:cs="Times New Roman"/>
          <w:sz w:val="24"/>
          <w:szCs w:val="24"/>
        </w:rPr>
        <w:t xml:space="preserve"> the</w:t>
      </w:r>
      <w:r w:rsidR="007F3792" w:rsidRPr="0043224D">
        <w:rPr>
          <w:rFonts w:ascii="Times New Roman" w:hAnsi="Times New Roman" w:cs="Times New Roman"/>
          <w:sz w:val="24"/>
          <w:szCs w:val="24"/>
        </w:rPr>
        <w:t xml:space="preserve"> </w:t>
      </w:r>
      <w:r w:rsidR="009944D3" w:rsidRPr="0043224D">
        <w:rPr>
          <w:rFonts w:ascii="Times New Roman" w:hAnsi="Times New Roman" w:cs="Times New Roman"/>
          <w:sz w:val="24"/>
          <w:szCs w:val="24"/>
        </w:rPr>
        <w:t>case of</w:t>
      </w:r>
      <w:r w:rsidR="00AE00DA" w:rsidRPr="0043224D">
        <w:rPr>
          <w:rFonts w:ascii="Times New Roman" w:hAnsi="Times New Roman" w:cs="Times New Roman"/>
          <w:sz w:val="24"/>
          <w:szCs w:val="24"/>
        </w:rPr>
        <w:t>:</w:t>
      </w:r>
      <w:r w:rsidR="009944D3" w:rsidRPr="0043224D">
        <w:rPr>
          <w:rFonts w:ascii="Times New Roman" w:hAnsi="Times New Roman" w:cs="Times New Roman"/>
          <w:sz w:val="24"/>
          <w:szCs w:val="24"/>
        </w:rPr>
        <w:t xml:space="preserve"> </w:t>
      </w:r>
      <w:r w:rsidR="007F3792" w:rsidRPr="0043224D">
        <w:rPr>
          <w:rFonts w:ascii="Times New Roman" w:hAnsi="Times New Roman" w:cs="Times New Roman"/>
          <w:sz w:val="24"/>
          <w:szCs w:val="24"/>
        </w:rPr>
        <w:t xml:space="preserve"> laws of the state, national security, public order, public health or morals, or for the protection of the</w:t>
      </w:r>
      <w:r w:rsidR="00836742" w:rsidRPr="0043224D">
        <w:rPr>
          <w:rFonts w:ascii="Times New Roman" w:hAnsi="Times New Roman" w:cs="Times New Roman"/>
          <w:sz w:val="24"/>
          <w:szCs w:val="24"/>
        </w:rPr>
        <w:t xml:space="preserve"> rights and freedoms of others.</w:t>
      </w:r>
      <w:r w:rsidR="00BC3E49" w:rsidRPr="0043224D">
        <w:rPr>
          <w:rStyle w:val="FootnoteReference"/>
          <w:rFonts w:ascii="Times New Roman" w:hAnsi="Times New Roman" w:cs="Times New Roman"/>
          <w:sz w:val="24"/>
          <w:szCs w:val="24"/>
        </w:rPr>
        <w:footnoteReference w:id="174"/>
      </w:r>
      <w:r w:rsidR="007F3792" w:rsidRPr="0043224D">
        <w:rPr>
          <w:rFonts w:ascii="Times New Roman" w:hAnsi="Times New Roman" w:cs="Times New Roman"/>
          <w:sz w:val="24"/>
          <w:szCs w:val="24"/>
        </w:rPr>
        <w:t xml:space="preserve"> </w:t>
      </w:r>
      <w:r w:rsidR="00294617" w:rsidRPr="0043224D">
        <w:rPr>
          <w:rFonts w:ascii="Times New Roman" w:hAnsi="Times New Roman" w:cs="Times New Roman"/>
          <w:sz w:val="24"/>
          <w:szCs w:val="24"/>
        </w:rPr>
        <w:t xml:space="preserve">The right to liberty of movement and freedom to choose residence, a foundational right for the right not to be displaced, is therefore a qualified right. </w:t>
      </w:r>
      <w:r w:rsidR="009944D3" w:rsidRPr="0043224D">
        <w:rPr>
          <w:rFonts w:ascii="Times New Roman" w:hAnsi="Times New Roman" w:cs="Times New Roman"/>
          <w:sz w:val="24"/>
          <w:szCs w:val="24"/>
        </w:rPr>
        <w:t>With a few specific exceptions in international law,</w:t>
      </w:r>
      <w:r w:rsidR="00C81B01" w:rsidRPr="0043224D">
        <w:rPr>
          <w:rFonts w:ascii="Times New Roman" w:hAnsi="Times New Roman" w:cs="Times New Roman"/>
          <w:sz w:val="24"/>
          <w:szCs w:val="24"/>
        </w:rPr>
        <w:t xml:space="preserve"> absolute</w:t>
      </w:r>
      <w:r w:rsidR="009944D3" w:rsidRPr="0043224D">
        <w:rPr>
          <w:rFonts w:ascii="Times New Roman" w:hAnsi="Times New Roman" w:cs="Times New Roman"/>
          <w:sz w:val="24"/>
          <w:szCs w:val="24"/>
        </w:rPr>
        <w:t xml:space="preserve"> </w:t>
      </w:r>
      <w:r w:rsidR="009944D3" w:rsidRPr="0043224D">
        <w:rPr>
          <w:rFonts w:ascii="Times New Roman" w:hAnsi="Times New Roman" w:cs="Times New Roman"/>
          <w:i/>
          <w:sz w:val="24"/>
          <w:szCs w:val="24"/>
        </w:rPr>
        <w:t>jus cogens</w:t>
      </w:r>
      <w:r w:rsidR="009944D3" w:rsidRPr="0043224D">
        <w:rPr>
          <w:rFonts w:ascii="Times New Roman" w:hAnsi="Times New Roman" w:cs="Times New Roman"/>
          <w:sz w:val="24"/>
          <w:szCs w:val="24"/>
        </w:rPr>
        <w:t xml:space="preserve"> norms</w:t>
      </w:r>
      <w:r w:rsidR="00C81B01" w:rsidRPr="0043224D">
        <w:rPr>
          <w:rFonts w:ascii="Times New Roman" w:hAnsi="Times New Roman" w:cs="Times New Roman"/>
          <w:sz w:val="24"/>
          <w:szCs w:val="24"/>
        </w:rPr>
        <w:t xml:space="preserve"> such as th</w:t>
      </w:r>
      <w:r w:rsidR="00836742" w:rsidRPr="0043224D">
        <w:rPr>
          <w:rFonts w:ascii="Times New Roman" w:hAnsi="Times New Roman" w:cs="Times New Roman"/>
          <w:sz w:val="24"/>
          <w:szCs w:val="24"/>
        </w:rPr>
        <w:t>e prohibition against genocide,</w:t>
      </w:r>
      <w:r w:rsidR="00C81B01" w:rsidRPr="0043224D">
        <w:rPr>
          <w:rStyle w:val="FootnoteReference"/>
          <w:rFonts w:ascii="Times New Roman" w:hAnsi="Times New Roman" w:cs="Times New Roman"/>
          <w:sz w:val="24"/>
          <w:szCs w:val="24"/>
        </w:rPr>
        <w:footnoteReference w:id="175"/>
      </w:r>
      <w:r w:rsidR="009944D3" w:rsidRPr="0043224D">
        <w:rPr>
          <w:rFonts w:ascii="Times New Roman" w:hAnsi="Times New Roman" w:cs="Times New Roman"/>
          <w:sz w:val="24"/>
          <w:szCs w:val="24"/>
        </w:rPr>
        <w:t xml:space="preserve"> all</w:t>
      </w:r>
      <w:r w:rsidR="002B7C67" w:rsidRPr="0043224D">
        <w:rPr>
          <w:rFonts w:ascii="Times New Roman" w:hAnsi="Times New Roman" w:cs="Times New Roman"/>
          <w:sz w:val="24"/>
          <w:szCs w:val="24"/>
        </w:rPr>
        <w:t xml:space="preserve"> protected</w:t>
      </w:r>
      <w:r w:rsidR="009944D3" w:rsidRPr="0043224D">
        <w:rPr>
          <w:rFonts w:ascii="Times New Roman" w:hAnsi="Times New Roman" w:cs="Times New Roman"/>
          <w:sz w:val="24"/>
          <w:szCs w:val="24"/>
        </w:rPr>
        <w:t xml:space="preserve"> rights whether civil, political, cultural, social or economic are subject</w:t>
      </w:r>
      <w:r w:rsidR="000A21DA" w:rsidRPr="0043224D">
        <w:rPr>
          <w:rFonts w:ascii="Times New Roman" w:hAnsi="Times New Roman" w:cs="Times New Roman"/>
          <w:sz w:val="24"/>
          <w:szCs w:val="24"/>
        </w:rPr>
        <w:t xml:space="preserve"> therefore</w:t>
      </w:r>
      <w:r w:rsidR="009944D3" w:rsidRPr="0043224D">
        <w:rPr>
          <w:rFonts w:ascii="Times New Roman" w:hAnsi="Times New Roman" w:cs="Times New Roman"/>
          <w:sz w:val="24"/>
          <w:szCs w:val="24"/>
        </w:rPr>
        <w:t xml:space="preserve"> to qualifications</w:t>
      </w:r>
      <w:r w:rsidR="00C81B01" w:rsidRPr="0043224D">
        <w:rPr>
          <w:rFonts w:ascii="Times New Roman" w:hAnsi="Times New Roman" w:cs="Times New Roman"/>
          <w:sz w:val="24"/>
          <w:szCs w:val="24"/>
        </w:rPr>
        <w:t>, limitations and in some cases derogation</w:t>
      </w:r>
      <w:r w:rsidR="009944D3" w:rsidRPr="0043224D">
        <w:rPr>
          <w:rFonts w:ascii="Times New Roman" w:hAnsi="Times New Roman" w:cs="Times New Roman"/>
          <w:sz w:val="24"/>
          <w:szCs w:val="24"/>
        </w:rPr>
        <w:t xml:space="preserve">. </w:t>
      </w:r>
      <w:r w:rsidR="000A21DA" w:rsidRPr="0043224D">
        <w:rPr>
          <w:rFonts w:ascii="Times New Roman" w:hAnsi="Times New Roman" w:cs="Times New Roman"/>
          <w:sz w:val="24"/>
          <w:szCs w:val="24"/>
        </w:rPr>
        <w:t xml:space="preserve">Thus </w:t>
      </w:r>
      <w:r w:rsidR="00697E71" w:rsidRPr="0043224D">
        <w:rPr>
          <w:rFonts w:ascii="Times New Roman" w:hAnsi="Times New Roman" w:cs="Times New Roman"/>
          <w:sz w:val="24"/>
          <w:szCs w:val="24"/>
        </w:rPr>
        <w:t xml:space="preserve">in order for the </w:t>
      </w:r>
      <w:r w:rsidR="002608BA" w:rsidRPr="0043224D">
        <w:rPr>
          <w:rFonts w:ascii="Times New Roman" w:hAnsi="Times New Roman" w:cs="Times New Roman"/>
          <w:sz w:val="24"/>
          <w:szCs w:val="24"/>
        </w:rPr>
        <w:t>limitation</w:t>
      </w:r>
      <w:r w:rsidR="00697E71" w:rsidRPr="0043224D">
        <w:rPr>
          <w:rFonts w:ascii="Times New Roman" w:hAnsi="Times New Roman" w:cs="Times New Roman"/>
          <w:sz w:val="24"/>
          <w:szCs w:val="24"/>
        </w:rPr>
        <w:t xml:space="preserve"> to be lawful it must be proven to be necessary, and</w:t>
      </w:r>
      <w:r w:rsidR="002B7C67" w:rsidRPr="0043224D">
        <w:rPr>
          <w:rFonts w:ascii="Times New Roman" w:hAnsi="Times New Roman" w:cs="Times New Roman"/>
          <w:sz w:val="24"/>
          <w:szCs w:val="24"/>
        </w:rPr>
        <w:t>,</w:t>
      </w:r>
      <w:r w:rsidR="00697E71" w:rsidRPr="0043224D">
        <w:rPr>
          <w:rFonts w:ascii="Times New Roman" w:hAnsi="Times New Roman" w:cs="Times New Roman"/>
          <w:sz w:val="24"/>
          <w:szCs w:val="24"/>
        </w:rPr>
        <w:t xml:space="preserve"> in the context of development projects</w:t>
      </w:r>
      <w:r w:rsidR="002B7C67" w:rsidRPr="0043224D">
        <w:rPr>
          <w:rFonts w:ascii="Times New Roman" w:hAnsi="Times New Roman" w:cs="Times New Roman"/>
          <w:sz w:val="24"/>
          <w:szCs w:val="24"/>
        </w:rPr>
        <w:t xml:space="preserve"> </w:t>
      </w:r>
      <w:r w:rsidR="00AF3E40" w:rsidRPr="0043224D">
        <w:rPr>
          <w:rFonts w:ascii="Times New Roman" w:hAnsi="Times New Roman" w:cs="Times New Roman"/>
          <w:sz w:val="24"/>
          <w:szCs w:val="24"/>
        </w:rPr>
        <w:t xml:space="preserve">or other development plans </w:t>
      </w:r>
      <w:r w:rsidR="002B7C67" w:rsidRPr="0043224D">
        <w:rPr>
          <w:rFonts w:ascii="Times New Roman" w:hAnsi="Times New Roman" w:cs="Times New Roman"/>
          <w:sz w:val="24"/>
          <w:szCs w:val="24"/>
        </w:rPr>
        <w:t>undertaken by states</w:t>
      </w:r>
      <w:r w:rsidR="00697E71" w:rsidRPr="0043224D">
        <w:rPr>
          <w:rFonts w:ascii="Times New Roman" w:hAnsi="Times New Roman" w:cs="Times New Roman"/>
          <w:sz w:val="24"/>
          <w:szCs w:val="24"/>
        </w:rPr>
        <w:t>,</w:t>
      </w:r>
      <w:r w:rsidR="002B7C67" w:rsidRPr="0043224D">
        <w:rPr>
          <w:rFonts w:ascii="Times New Roman" w:hAnsi="Times New Roman" w:cs="Times New Roman"/>
          <w:sz w:val="24"/>
          <w:szCs w:val="24"/>
        </w:rPr>
        <w:t xml:space="preserve"> international law declares that the</w:t>
      </w:r>
      <w:r w:rsidR="00697E71" w:rsidRPr="0043224D">
        <w:rPr>
          <w:rFonts w:ascii="Times New Roman" w:hAnsi="Times New Roman" w:cs="Times New Roman"/>
          <w:sz w:val="24"/>
          <w:szCs w:val="24"/>
        </w:rPr>
        <w:t xml:space="preserve"> </w:t>
      </w:r>
      <w:r w:rsidR="002608BA" w:rsidRPr="0043224D">
        <w:rPr>
          <w:rFonts w:ascii="Times New Roman" w:hAnsi="Times New Roman" w:cs="Times New Roman"/>
          <w:sz w:val="24"/>
          <w:szCs w:val="24"/>
        </w:rPr>
        <w:t>limitation</w:t>
      </w:r>
      <w:r w:rsidR="00697E71" w:rsidRPr="0043224D">
        <w:rPr>
          <w:rFonts w:ascii="Times New Roman" w:hAnsi="Times New Roman" w:cs="Times New Roman"/>
          <w:sz w:val="24"/>
          <w:szCs w:val="24"/>
        </w:rPr>
        <w:t xml:space="preserve"> must demonstrate a pressing social need</w:t>
      </w:r>
      <w:r w:rsidR="00AF3E40" w:rsidRPr="0043224D">
        <w:rPr>
          <w:rFonts w:ascii="Times New Roman" w:hAnsi="Times New Roman" w:cs="Times New Roman"/>
          <w:sz w:val="24"/>
          <w:szCs w:val="24"/>
        </w:rPr>
        <w:t>, if, amongst other things, it is prescribed law or in the public interest</w:t>
      </w:r>
      <w:r w:rsidR="00836742" w:rsidRPr="0043224D">
        <w:rPr>
          <w:rFonts w:ascii="Times New Roman" w:hAnsi="Times New Roman" w:cs="Times New Roman"/>
          <w:sz w:val="24"/>
          <w:szCs w:val="24"/>
        </w:rPr>
        <w:t>.</w:t>
      </w:r>
      <w:r w:rsidR="00AF3E40" w:rsidRPr="0043224D">
        <w:rPr>
          <w:rFonts w:ascii="Times New Roman" w:hAnsi="Times New Roman" w:cs="Times New Roman"/>
          <w:sz w:val="24"/>
          <w:szCs w:val="24"/>
        </w:rPr>
        <w:t xml:space="preserve"> </w:t>
      </w:r>
      <w:r w:rsidR="000A21DA" w:rsidRPr="0043224D">
        <w:rPr>
          <w:rFonts w:ascii="Times New Roman" w:hAnsi="Times New Roman" w:cs="Times New Roman"/>
          <w:sz w:val="24"/>
          <w:szCs w:val="24"/>
        </w:rPr>
        <w:t>The burden of proof</w:t>
      </w:r>
      <w:r w:rsidR="0082115B" w:rsidRPr="0043224D">
        <w:rPr>
          <w:rFonts w:ascii="Times New Roman" w:hAnsi="Times New Roman" w:cs="Times New Roman"/>
          <w:sz w:val="24"/>
          <w:szCs w:val="24"/>
        </w:rPr>
        <w:t xml:space="preserve"> </w:t>
      </w:r>
      <w:r w:rsidR="000A21DA" w:rsidRPr="0043224D">
        <w:rPr>
          <w:rFonts w:ascii="Times New Roman" w:hAnsi="Times New Roman" w:cs="Times New Roman"/>
          <w:sz w:val="24"/>
          <w:szCs w:val="24"/>
        </w:rPr>
        <w:t>is</w:t>
      </w:r>
      <w:r w:rsidR="002608BA" w:rsidRPr="0043224D">
        <w:rPr>
          <w:rFonts w:ascii="Times New Roman" w:hAnsi="Times New Roman" w:cs="Times New Roman"/>
          <w:sz w:val="24"/>
          <w:szCs w:val="24"/>
        </w:rPr>
        <w:t xml:space="preserve"> therefore</w:t>
      </w:r>
      <w:r w:rsidR="000A21DA" w:rsidRPr="0043224D">
        <w:rPr>
          <w:rFonts w:ascii="Times New Roman" w:hAnsi="Times New Roman" w:cs="Times New Roman"/>
          <w:sz w:val="24"/>
          <w:szCs w:val="24"/>
        </w:rPr>
        <w:t xml:space="preserve"> placed on the state</w:t>
      </w:r>
      <w:r w:rsidR="0082115B" w:rsidRPr="0043224D">
        <w:rPr>
          <w:rFonts w:ascii="Times New Roman" w:hAnsi="Times New Roman" w:cs="Times New Roman"/>
          <w:sz w:val="24"/>
          <w:szCs w:val="24"/>
        </w:rPr>
        <w:t xml:space="preserve"> to justify acts of displacement</w:t>
      </w:r>
      <w:r w:rsidR="000A21DA" w:rsidRPr="0043224D">
        <w:rPr>
          <w:rFonts w:ascii="Times New Roman" w:hAnsi="Times New Roman" w:cs="Times New Roman"/>
          <w:sz w:val="24"/>
          <w:szCs w:val="24"/>
        </w:rPr>
        <w:t>.</w:t>
      </w:r>
      <w:r w:rsidR="00112183" w:rsidRPr="0043224D">
        <w:rPr>
          <w:rFonts w:ascii="Times New Roman" w:hAnsi="Times New Roman" w:cs="Times New Roman"/>
          <w:sz w:val="24"/>
          <w:szCs w:val="24"/>
        </w:rPr>
        <w:t xml:space="preserve"> As was illustrated in section</w:t>
      </w:r>
      <w:r w:rsidR="00EA7925">
        <w:rPr>
          <w:rFonts w:ascii="Times New Roman" w:hAnsi="Times New Roman" w:cs="Times New Roman"/>
          <w:sz w:val="24"/>
          <w:szCs w:val="24"/>
        </w:rPr>
        <w:t xml:space="preserve"> 3.3, </w:t>
      </w:r>
      <w:r w:rsidR="00112183" w:rsidRPr="0043224D">
        <w:rPr>
          <w:rFonts w:ascii="Times New Roman" w:hAnsi="Times New Roman" w:cs="Times New Roman"/>
          <w:sz w:val="24"/>
          <w:szCs w:val="24"/>
        </w:rPr>
        <w:t xml:space="preserve"> judicial bodies such as the African Commission</w:t>
      </w:r>
      <w:r w:rsidR="0082115B" w:rsidRPr="0043224D">
        <w:rPr>
          <w:rFonts w:ascii="Times New Roman" w:hAnsi="Times New Roman" w:cs="Times New Roman"/>
          <w:sz w:val="24"/>
          <w:szCs w:val="24"/>
        </w:rPr>
        <w:t xml:space="preserve"> on Human and Peoples Rights have ruled in favour of indigenous peoples in cases of displacement, holding that the denial of property rights over ancestral lands by the state was disproportionate  to the public interest.</w:t>
      </w:r>
      <w:r w:rsidR="0082115B" w:rsidRPr="0043224D">
        <w:rPr>
          <w:rStyle w:val="FootnoteReference"/>
          <w:rFonts w:ascii="Times New Roman" w:hAnsi="Times New Roman" w:cs="Times New Roman"/>
          <w:sz w:val="24"/>
          <w:szCs w:val="24"/>
        </w:rPr>
        <w:footnoteReference w:id="176"/>
      </w:r>
      <w:r w:rsidR="0082115B" w:rsidRPr="0043224D">
        <w:rPr>
          <w:rFonts w:ascii="Times New Roman" w:hAnsi="Times New Roman" w:cs="Times New Roman"/>
          <w:sz w:val="24"/>
          <w:szCs w:val="24"/>
        </w:rPr>
        <w:t xml:space="preserve"> </w:t>
      </w:r>
    </w:p>
    <w:p w:rsidR="00186561" w:rsidRPr="0043224D" w:rsidRDefault="00B73951" w:rsidP="00060EEC">
      <w:pPr>
        <w:spacing w:line="360" w:lineRule="auto"/>
        <w:ind w:firstLine="720"/>
        <w:rPr>
          <w:rFonts w:ascii="Times New Roman" w:hAnsi="Times New Roman" w:cs="Times New Roman"/>
          <w:sz w:val="24"/>
          <w:szCs w:val="24"/>
          <w:shd w:val="clear" w:color="auto" w:fill="FFFFFF"/>
        </w:rPr>
      </w:pPr>
      <w:r w:rsidRPr="0043224D">
        <w:rPr>
          <w:rFonts w:ascii="Times New Roman" w:hAnsi="Times New Roman" w:cs="Times New Roman"/>
          <w:sz w:val="24"/>
          <w:szCs w:val="24"/>
        </w:rPr>
        <w:t>However,</w:t>
      </w:r>
      <w:r w:rsidR="000A21DA" w:rsidRPr="0043224D">
        <w:rPr>
          <w:rFonts w:ascii="Times New Roman" w:hAnsi="Times New Roman" w:cs="Times New Roman"/>
          <w:sz w:val="24"/>
          <w:szCs w:val="24"/>
        </w:rPr>
        <w:t xml:space="preserve"> to restate,</w:t>
      </w:r>
      <w:r w:rsidRPr="0043224D">
        <w:rPr>
          <w:rFonts w:ascii="Times New Roman" w:hAnsi="Times New Roman" w:cs="Times New Roman"/>
          <w:sz w:val="24"/>
          <w:szCs w:val="24"/>
        </w:rPr>
        <w:t xml:space="preserve"> </w:t>
      </w:r>
      <w:r w:rsidR="00B24BAB" w:rsidRPr="0043224D">
        <w:rPr>
          <w:rFonts w:ascii="Times New Roman" w:hAnsi="Times New Roman" w:cs="Times New Roman"/>
          <w:sz w:val="24"/>
          <w:szCs w:val="24"/>
        </w:rPr>
        <w:t>the limitations impos</w:t>
      </w:r>
      <w:r w:rsidR="000A21DA" w:rsidRPr="0043224D">
        <w:rPr>
          <w:rFonts w:ascii="Times New Roman" w:hAnsi="Times New Roman" w:cs="Times New Roman"/>
          <w:sz w:val="24"/>
          <w:szCs w:val="24"/>
        </w:rPr>
        <w:t>ed</w:t>
      </w:r>
      <w:r w:rsidR="00B24BAB" w:rsidRPr="0043224D">
        <w:rPr>
          <w:rFonts w:ascii="Times New Roman" w:hAnsi="Times New Roman" w:cs="Times New Roman"/>
          <w:sz w:val="24"/>
          <w:szCs w:val="24"/>
        </w:rPr>
        <w:t xml:space="preserve"> such as the right to property, must be comply with relevant standards of necessit</w:t>
      </w:r>
      <w:r w:rsidR="002608BA" w:rsidRPr="0043224D">
        <w:rPr>
          <w:rFonts w:ascii="Times New Roman" w:hAnsi="Times New Roman" w:cs="Times New Roman"/>
          <w:sz w:val="24"/>
          <w:szCs w:val="24"/>
        </w:rPr>
        <w:t>y and proportionality.</w:t>
      </w:r>
      <w:r w:rsidR="00B91B50" w:rsidRPr="0043224D">
        <w:rPr>
          <w:rFonts w:ascii="Times New Roman" w:hAnsi="Times New Roman" w:cs="Times New Roman"/>
          <w:sz w:val="24"/>
          <w:szCs w:val="24"/>
        </w:rPr>
        <w:t xml:space="preserve"> Arguing in relation to the</w:t>
      </w:r>
      <w:r w:rsidR="00294617" w:rsidRPr="0043224D">
        <w:rPr>
          <w:rFonts w:ascii="Times New Roman" w:hAnsi="Times New Roman" w:cs="Times New Roman"/>
          <w:sz w:val="24"/>
          <w:szCs w:val="24"/>
        </w:rPr>
        <w:t xml:space="preserve"> </w:t>
      </w:r>
      <w:r w:rsidR="002608BA" w:rsidRPr="0043224D">
        <w:rPr>
          <w:rFonts w:ascii="Times New Roman" w:hAnsi="Times New Roman" w:cs="Times New Roman"/>
          <w:sz w:val="24"/>
          <w:szCs w:val="24"/>
        </w:rPr>
        <w:t>FPIC</w:t>
      </w:r>
      <w:r w:rsidR="00B91B50" w:rsidRPr="0043224D">
        <w:rPr>
          <w:rFonts w:ascii="Times New Roman" w:hAnsi="Times New Roman" w:cs="Times New Roman"/>
          <w:sz w:val="24"/>
          <w:szCs w:val="24"/>
        </w:rPr>
        <w:t xml:space="preserve"> of indigenous peoples to permit oil extraction on their territories, James </w:t>
      </w:r>
      <w:r w:rsidR="00E5548A" w:rsidRPr="0043224D">
        <w:rPr>
          <w:rFonts w:ascii="Times New Roman" w:hAnsi="Times New Roman" w:cs="Times New Roman"/>
          <w:sz w:val="24"/>
          <w:szCs w:val="24"/>
        </w:rPr>
        <w:t xml:space="preserve">Anaya </w:t>
      </w:r>
      <w:r w:rsidR="002608BA" w:rsidRPr="0043224D">
        <w:rPr>
          <w:rFonts w:ascii="Times New Roman" w:hAnsi="Times New Roman" w:cs="Times New Roman"/>
          <w:sz w:val="24"/>
          <w:szCs w:val="24"/>
        </w:rPr>
        <w:t>notes</w:t>
      </w:r>
      <w:r w:rsidR="00E12BEB" w:rsidRPr="0043224D">
        <w:rPr>
          <w:rFonts w:ascii="Times New Roman" w:hAnsi="Times New Roman" w:cs="Times New Roman"/>
          <w:i/>
          <w:sz w:val="24"/>
          <w:szCs w:val="24"/>
        </w:rPr>
        <w:t xml:space="preserve"> </w:t>
      </w:r>
      <w:r w:rsidR="005F2E7D" w:rsidRPr="0043224D">
        <w:rPr>
          <w:rFonts w:ascii="Times New Roman" w:hAnsi="Times New Roman" w:cs="Times New Roman"/>
          <w:sz w:val="24"/>
          <w:szCs w:val="24"/>
        </w:rPr>
        <w:t>that for a limitation</w:t>
      </w:r>
      <w:r w:rsidR="00E5548A" w:rsidRPr="0043224D">
        <w:rPr>
          <w:rFonts w:ascii="Times New Roman" w:hAnsi="Times New Roman" w:cs="Times New Roman"/>
          <w:sz w:val="24"/>
          <w:szCs w:val="24"/>
        </w:rPr>
        <w:t xml:space="preserve"> to a right</w:t>
      </w:r>
      <w:r w:rsidR="005F2E7D" w:rsidRPr="0043224D">
        <w:rPr>
          <w:rFonts w:ascii="Times New Roman" w:hAnsi="Times New Roman" w:cs="Times New Roman"/>
          <w:sz w:val="24"/>
          <w:szCs w:val="24"/>
        </w:rPr>
        <w:t xml:space="preserve"> to be valid it must firstly</w:t>
      </w:r>
      <w:r w:rsidR="00E5548A" w:rsidRPr="0043224D">
        <w:rPr>
          <w:rFonts w:ascii="Times New Roman" w:hAnsi="Times New Roman" w:cs="Times New Roman"/>
          <w:sz w:val="24"/>
          <w:szCs w:val="24"/>
        </w:rPr>
        <w:t xml:space="preserve"> be subject to limitation by the state, and secondly the limitation, “[</w:t>
      </w:r>
      <w:r w:rsidR="00E5548A" w:rsidRPr="0043224D">
        <w:rPr>
          <w:rFonts w:ascii="Times New Roman" w:hAnsi="Times New Roman" w:cs="Times New Roman"/>
          <w:sz w:val="24"/>
          <w:szCs w:val="24"/>
          <w:shd w:val="clear" w:color="auto" w:fill="FFFFFF"/>
        </w:rPr>
        <w:t>m]ust be necessary and proportional in relation to a valid State objective motivated by concern for the human rights of others.”</w:t>
      </w:r>
      <w:r w:rsidR="00E5548A" w:rsidRPr="0043224D">
        <w:rPr>
          <w:rStyle w:val="FootnoteReference"/>
          <w:rFonts w:ascii="Times New Roman" w:hAnsi="Times New Roman" w:cs="Times New Roman"/>
          <w:sz w:val="24"/>
          <w:szCs w:val="24"/>
          <w:shd w:val="clear" w:color="auto" w:fill="FFFFFF"/>
        </w:rPr>
        <w:footnoteReference w:id="177"/>
      </w:r>
      <w:r w:rsidR="00E5548A" w:rsidRPr="0043224D">
        <w:rPr>
          <w:rFonts w:ascii="Times New Roman" w:hAnsi="Times New Roman" w:cs="Times New Roman"/>
          <w:sz w:val="24"/>
          <w:szCs w:val="24"/>
          <w:shd w:val="clear" w:color="auto" w:fill="FFFFFF"/>
        </w:rPr>
        <w:t xml:space="preserve"> </w:t>
      </w:r>
      <w:r w:rsidR="00BC3E49" w:rsidRPr="0043224D">
        <w:rPr>
          <w:rFonts w:ascii="Times New Roman" w:hAnsi="Times New Roman" w:cs="Times New Roman"/>
          <w:sz w:val="24"/>
          <w:szCs w:val="24"/>
          <w:shd w:val="clear" w:color="auto" w:fill="FFFFFF"/>
        </w:rPr>
        <w:t xml:space="preserve"> </w:t>
      </w:r>
      <w:r w:rsidR="00522607" w:rsidRPr="0043224D">
        <w:rPr>
          <w:rFonts w:ascii="Times New Roman" w:hAnsi="Times New Roman" w:cs="Times New Roman"/>
          <w:sz w:val="24"/>
          <w:szCs w:val="24"/>
          <w:shd w:val="clear" w:color="auto" w:fill="FFFFFF"/>
        </w:rPr>
        <w:t xml:space="preserve">The question therefore becomes one of conflicting interests. </w:t>
      </w:r>
      <w:r w:rsidR="00C76849" w:rsidRPr="0043224D">
        <w:rPr>
          <w:rFonts w:ascii="Times New Roman" w:hAnsi="Times New Roman" w:cs="Times New Roman"/>
          <w:sz w:val="24"/>
          <w:szCs w:val="24"/>
          <w:shd w:val="clear" w:color="auto" w:fill="FFFFFF"/>
        </w:rPr>
        <w:t>The state, if it has</w:t>
      </w:r>
      <w:r w:rsidR="004B7A9F" w:rsidRPr="0043224D">
        <w:rPr>
          <w:rFonts w:ascii="Times New Roman" w:hAnsi="Times New Roman" w:cs="Times New Roman"/>
          <w:sz w:val="24"/>
          <w:szCs w:val="24"/>
          <w:shd w:val="clear" w:color="auto" w:fill="FFFFFF"/>
        </w:rPr>
        <w:t xml:space="preserve"> functioning</w:t>
      </w:r>
      <w:r w:rsidR="00C76849" w:rsidRPr="0043224D">
        <w:rPr>
          <w:rFonts w:ascii="Times New Roman" w:hAnsi="Times New Roman" w:cs="Times New Roman"/>
          <w:sz w:val="24"/>
          <w:szCs w:val="24"/>
          <w:shd w:val="clear" w:color="auto" w:fill="FFFFFF"/>
        </w:rPr>
        <w:t xml:space="preserve"> democratic legislative, judicial and administrative institutions, is compelled to weigh up the social and economic interests and benefits</w:t>
      </w:r>
      <w:r w:rsidR="00BC3E49" w:rsidRPr="0043224D">
        <w:rPr>
          <w:rFonts w:ascii="Times New Roman" w:hAnsi="Times New Roman" w:cs="Times New Roman"/>
          <w:sz w:val="24"/>
          <w:szCs w:val="24"/>
          <w:shd w:val="clear" w:color="auto" w:fill="FFFFFF"/>
        </w:rPr>
        <w:t xml:space="preserve"> of the effects and consequences of its development policies and </w:t>
      </w:r>
      <w:r w:rsidR="00836742" w:rsidRPr="0043224D">
        <w:rPr>
          <w:rFonts w:ascii="Times New Roman" w:hAnsi="Times New Roman" w:cs="Times New Roman"/>
          <w:sz w:val="24"/>
          <w:szCs w:val="24"/>
          <w:shd w:val="clear" w:color="auto" w:fill="FFFFFF"/>
        </w:rPr>
        <w:t>programmes,</w:t>
      </w:r>
      <w:r w:rsidR="00BC3E49" w:rsidRPr="0043224D">
        <w:rPr>
          <w:rFonts w:ascii="Times New Roman" w:hAnsi="Times New Roman" w:cs="Times New Roman"/>
          <w:sz w:val="24"/>
          <w:szCs w:val="24"/>
          <w:shd w:val="clear" w:color="auto" w:fill="FFFFFF"/>
        </w:rPr>
        <w:t xml:space="preserve"> if those policies and program</w:t>
      </w:r>
      <w:r w:rsidR="00836742" w:rsidRPr="0043224D">
        <w:rPr>
          <w:rFonts w:ascii="Times New Roman" w:hAnsi="Times New Roman" w:cs="Times New Roman"/>
          <w:sz w:val="24"/>
          <w:szCs w:val="24"/>
          <w:shd w:val="clear" w:color="auto" w:fill="FFFFFF"/>
        </w:rPr>
        <w:t>mes</w:t>
      </w:r>
      <w:r w:rsidR="00BC3E49" w:rsidRPr="0043224D">
        <w:rPr>
          <w:rFonts w:ascii="Times New Roman" w:hAnsi="Times New Roman" w:cs="Times New Roman"/>
          <w:sz w:val="24"/>
          <w:szCs w:val="24"/>
          <w:shd w:val="clear" w:color="auto" w:fill="FFFFFF"/>
        </w:rPr>
        <w:t xml:space="preserve"> </w:t>
      </w:r>
      <w:r w:rsidR="008C02E0" w:rsidRPr="0043224D">
        <w:rPr>
          <w:rFonts w:ascii="Times New Roman" w:hAnsi="Times New Roman" w:cs="Times New Roman"/>
          <w:sz w:val="24"/>
          <w:szCs w:val="24"/>
          <w:shd w:val="clear" w:color="auto" w:fill="FFFFFF"/>
        </w:rPr>
        <w:t>are deemed to be the cause of displacement</w:t>
      </w:r>
      <w:r w:rsidR="00C76849" w:rsidRPr="0043224D">
        <w:rPr>
          <w:rFonts w:ascii="Times New Roman" w:hAnsi="Times New Roman" w:cs="Times New Roman"/>
          <w:sz w:val="24"/>
          <w:szCs w:val="24"/>
          <w:shd w:val="clear" w:color="auto" w:fill="FFFFFF"/>
        </w:rPr>
        <w:t xml:space="preserve">. </w:t>
      </w:r>
      <w:r w:rsidR="009944D3" w:rsidRPr="0043224D">
        <w:rPr>
          <w:rFonts w:ascii="Times New Roman" w:hAnsi="Times New Roman" w:cs="Times New Roman"/>
          <w:sz w:val="24"/>
          <w:szCs w:val="24"/>
          <w:shd w:val="clear" w:color="auto" w:fill="FFFFFF"/>
        </w:rPr>
        <w:t>When</w:t>
      </w:r>
      <w:r w:rsidR="00033D62" w:rsidRPr="0043224D">
        <w:rPr>
          <w:rFonts w:ascii="Times New Roman" w:hAnsi="Times New Roman" w:cs="Times New Roman"/>
          <w:sz w:val="24"/>
          <w:szCs w:val="24"/>
          <w:shd w:val="clear" w:color="auto" w:fill="FFFFFF"/>
        </w:rPr>
        <w:t xml:space="preserve"> conflicting</w:t>
      </w:r>
      <w:r w:rsidR="009944D3" w:rsidRPr="0043224D">
        <w:rPr>
          <w:rFonts w:ascii="Times New Roman" w:hAnsi="Times New Roman" w:cs="Times New Roman"/>
          <w:sz w:val="24"/>
          <w:szCs w:val="24"/>
          <w:shd w:val="clear" w:color="auto" w:fill="FFFFFF"/>
        </w:rPr>
        <w:t xml:space="preserve"> interests compete the national authorities are</w:t>
      </w:r>
      <w:r w:rsidR="00C32184" w:rsidRPr="0043224D">
        <w:rPr>
          <w:rFonts w:ascii="Times New Roman" w:hAnsi="Times New Roman" w:cs="Times New Roman"/>
          <w:sz w:val="24"/>
          <w:szCs w:val="24"/>
          <w:shd w:val="clear" w:color="auto" w:fill="FFFFFF"/>
        </w:rPr>
        <w:t>,</w:t>
      </w:r>
      <w:r w:rsidR="009944D3" w:rsidRPr="0043224D">
        <w:rPr>
          <w:rFonts w:ascii="Times New Roman" w:hAnsi="Times New Roman" w:cs="Times New Roman"/>
          <w:sz w:val="24"/>
          <w:szCs w:val="24"/>
          <w:shd w:val="clear" w:color="auto" w:fill="FFFFFF"/>
        </w:rPr>
        <w:t xml:space="preserve"> according to international human rights law</w:t>
      </w:r>
      <w:r w:rsidR="00C32184" w:rsidRPr="0043224D">
        <w:rPr>
          <w:rFonts w:ascii="Times New Roman" w:hAnsi="Times New Roman" w:cs="Times New Roman"/>
          <w:sz w:val="24"/>
          <w:szCs w:val="24"/>
          <w:shd w:val="clear" w:color="auto" w:fill="FFFFFF"/>
        </w:rPr>
        <w:t>,</w:t>
      </w:r>
      <w:r w:rsidR="009944D3" w:rsidRPr="0043224D">
        <w:rPr>
          <w:rFonts w:ascii="Times New Roman" w:hAnsi="Times New Roman" w:cs="Times New Roman"/>
          <w:sz w:val="24"/>
          <w:szCs w:val="24"/>
          <w:shd w:val="clear" w:color="auto" w:fill="FFFFFF"/>
        </w:rPr>
        <w:t xml:space="preserve"> </w:t>
      </w:r>
      <w:r w:rsidR="00C32184" w:rsidRPr="0043224D">
        <w:rPr>
          <w:rFonts w:ascii="Times New Roman" w:hAnsi="Times New Roman" w:cs="Times New Roman"/>
          <w:sz w:val="24"/>
          <w:szCs w:val="24"/>
          <w:shd w:val="clear" w:color="auto" w:fill="FFFFFF"/>
        </w:rPr>
        <w:t xml:space="preserve">compelled to </w:t>
      </w:r>
      <w:r w:rsidR="009B32D8" w:rsidRPr="0043224D">
        <w:rPr>
          <w:rFonts w:ascii="Times New Roman" w:hAnsi="Times New Roman" w:cs="Times New Roman"/>
          <w:sz w:val="24"/>
          <w:szCs w:val="24"/>
          <w:shd w:val="clear" w:color="auto" w:fill="FFFFFF"/>
        </w:rPr>
        <w:t xml:space="preserve">strike a </w:t>
      </w:r>
      <w:r w:rsidR="00C32184" w:rsidRPr="0043224D">
        <w:rPr>
          <w:rFonts w:ascii="Times New Roman" w:hAnsi="Times New Roman" w:cs="Times New Roman"/>
          <w:sz w:val="24"/>
          <w:szCs w:val="24"/>
          <w:shd w:val="clear" w:color="auto" w:fill="FFFFFF"/>
        </w:rPr>
        <w:t xml:space="preserve">balance </w:t>
      </w:r>
      <w:r w:rsidR="009B32D8" w:rsidRPr="0043224D">
        <w:rPr>
          <w:rFonts w:ascii="Times New Roman" w:hAnsi="Times New Roman" w:cs="Times New Roman"/>
          <w:sz w:val="24"/>
          <w:szCs w:val="24"/>
          <w:shd w:val="clear" w:color="auto" w:fill="FFFFFF"/>
        </w:rPr>
        <w:t>between</w:t>
      </w:r>
      <w:r w:rsidR="00011C9A" w:rsidRPr="0043224D">
        <w:rPr>
          <w:rFonts w:ascii="Times New Roman" w:hAnsi="Times New Roman" w:cs="Times New Roman"/>
          <w:sz w:val="24"/>
          <w:szCs w:val="24"/>
          <w:shd w:val="clear" w:color="auto" w:fill="FFFFFF"/>
        </w:rPr>
        <w:t xml:space="preserve"> the</w:t>
      </w:r>
      <w:r w:rsidR="009B32D8" w:rsidRPr="0043224D">
        <w:rPr>
          <w:rFonts w:ascii="Times New Roman" w:hAnsi="Times New Roman" w:cs="Times New Roman"/>
          <w:sz w:val="24"/>
          <w:szCs w:val="24"/>
          <w:shd w:val="clear" w:color="auto" w:fill="FFFFFF"/>
        </w:rPr>
        <w:t xml:space="preserve"> rights</w:t>
      </w:r>
      <w:r w:rsidR="00011C9A" w:rsidRPr="0043224D">
        <w:rPr>
          <w:rFonts w:ascii="Times New Roman" w:hAnsi="Times New Roman" w:cs="Times New Roman"/>
          <w:sz w:val="24"/>
          <w:szCs w:val="24"/>
          <w:shd w:val="clear" w:color="auto" w:fill="FFFFFF"/>
        </w:rPr>
        <w:t xml:space="preserve"> and freedoms of all parties</w:t>
      </w:r>
      <w:r w:rsidR="00C32184" w:rsidRPr="0043224D">
        <w:rPr>
          <w:rFonts w:ascii="Times New Roman" w:hAnsi="Times New Roman" w:cs="Times New Roman"/>
          <w:sz w:val="24"/>
          <w:szCs w:val="24"/>
          <w:shd w:val="clear" w:color="auto" w:fill="FFFFFF"/>
        </w:rPr>
        <w:t>.</w:t>
      </w:r>
      <w:r w:rsidR="00C76849" w:rsidRPr="0043224D">
        <w:rPr>
          <w:rFonts w:ascii="Times New Roman" w:hAnsi="Times New Roman" w:cs="Times New Roman"/>
          <w:sz w:val="24"/>
          <w:szCs w:val="24"/>
          <w:shd w:val="clear" w:color="auto" w:fill="FFFFFF"/>
        </w:rPr>
        <w:t xml:space="preserve"> </w:t>
      </w:r>
      <w:r w:rsidR="00011C9A" w:rsidRPr="0043224D">
        <w:rPr>
          <w:rFonts w:ascii="Times New Roman" w:hAnsi="Times New Roman" w:cs="Times New Roman"/>
          <w:sz w:val="24"/>
          <w:szCs w:val="24"/>
          <w:shd w:val="clear" w:color="auto" w:fill="FFFFFF"/>
        </w:rPr>
        <w:t>A right that is of significance to the discussion here</w:t>
      </w:r>
      <w:r w:rsidR="00186561" w:rsidRPr="0043224D">
        <w:rPr>
          <w:rFonts w:ascii="Times New Roman" w:hAnsi="Times New Roman" w:cs="Times New Roman"/>
          <w:sz w:val="24"/>
          <w:szCs w:val="24"/>
          <w:shd w:val="clear" w:color="auto" w:fill="FFFFFF"/>
        </w:rPr>
        <w:t xml:space="preserve"> </w:t>
      </w:r>
      <w:r w:rsidR="00011C9A" w:rsidRPr="0043224D">
        <w:rPr>
          <w:rFonts w:ascii="Times New Roman" w:hAnsi="Times New Roman" w:cs="Times New Roman"/>
          <w:sz w:val="24"/>
          <w:szCs w:val="24"/>
          <w:shd w:val="clear" w:color="auto" w:fill="FFFFFF"/>
        </w:rPr>
        <w:t>is that of t</w:t>
      </w:r>
      <w:r w:rsidR="004B7A9F" w:rsidRPr="0043224D">
        <w:rPr>
          <w:rFonts w:ascii="Times New Roman" w:hAnsi="Times New Roman" w:cs="Times New Roman"/>
          <w:sz w:val="24"/>
          <w:szCs w:val="24"/>
          <w:shd w:val="clear" w:color="auto" w:fill="FFFFFF"/>
        </w:rPr>
        <w:t>he right to adequate housing</w:t>
      </w:r>
      <w:r w:rsidR="00836742" w:rsidRPr="0043224D">
        <w:rPr>
          <w:rFonts w:ascii="Times New Roman" w:hAnsi="Times New Roman" w:cs="Times New Roman"/>
          <w:sz w:val="24"/>
          <w:szCs w:val="24"/>
          <w:shd w:val="clear" w:color="auto" w:fill="FFFFFF"/>
        </w:rPr>
        <w:t xml:space="preserve">, </w:t>
      </w:r>
      <w:r w:rsidR="00EE0CFC" w:rsidRPr="0043224D">
        <w:rPr>
          <w:rStyle w:val="FootnoteReference"/>
          <w:rFonts w:ascii="Times New Roman" w:hAnsi="Times New Roman" w:cs="Times New Roman"/>
          <w:sz w:val="24"/>
          <w:szCs w:val="24"/>
          <w:shd w:val="clear" w:color="auto" w:fill="FFFFFF"/>
        </w:rPr>
        <w:footnoteReference w:id="178"/>
      </w:r>
      <w:r w:rsidR="00EE0CFC" w:rsidRPr="0043224D">
        <w:rPr>
          <w:rFonts w:ascii="Times New Roman" w:hAnsi="Times New Roman" w:cs="Times New Roman"/>
          <w:sz w:val="24"/>
          <w:szCs w:val="24"/>
          <w:shd w:val="clear" w:color="auto" w:fill="FFFFFF"/>
        </w:rPr>
        <w:t xml:space="preserve"> a</w:t>
      </w:r>
      <w:r w:rsidR="00011C9A" w:rsidRPr="0043224D">
        <w:rPr>
          <w:rFonts w:ascii="Times New Roman" w:hAnsi="Times New Roman" w:cs="Times New Roman"/>
          <w:sz w:val="24"/>
          <w:szCs w:val="24"/>
          <w:shd w:val="clear" w:color="auto" w:fill="FFFFFF"/>
        </w:rPr>
        <w:t xml:space="preserve"> right</w:t>
      </w:r>
      <w:r w:rsidR="004B7A9F" w:rsidRPr="0043224D">
        <w:rPr>
          <w:rFonts w:ascii="Times New Roman" w:hAnsi="Times New Roman" w:cs="Times New Roman"/>
          <w:sz w:val="24"/>
          <w:szCs w:val="24"/>
          <w:shd w:val="clear" w:color="auto" w:fill="FFFFFF"/>
        </w:rPr>
        <w:t xml:space="preserve"> well established in international law</w:t>
      </w:r>
      <w:r w:rsidR="00327677" w:rsidRPr="0043224D">
        <w:rPr>
          <w:rFonts w:ascii="Times New Roman" w:hAnsi="Times New Roman" w:cs="Times New Roman"/>
          <w:sz w:val="24"/>
          <w:szCs w:val="24"/>
          <w:shd w:val="clear" w:color="auto" w:fill="FFFFFF"/>
        </w:rPr>
        <w:t xml:space="preserve"> and one which states have a positive obligation to progressively realise</w:t>
      </w:r>
      <w:r w:rsidR="00EE0CFC" w:rsidRPr="0043224D">
        <w:rPr>
          <w:rFonts w:ascii="Times New Roman" w:hAnsi="Times New Roman" w:cs="Times New Roman"/>
          <w:sz w:val="24"/>
          <w:szCs w:val="24"/>
          <w:shd w:val="clear" w:color="auto" w:fill="FFFFFF"/>
        </w:rPr>
        <w:t>.</w:t>
      </w:r>
      <w:r w:rsidR="00327677" w:rsidRPr="0043224D">
        <w:rPr>
          <w:rStyle w:val="FootnoteReference"/>
          <w:rFonts w:ascii="Times New Roman" w:hAnsi="Times New Roman" w:cs="Times New Roman"/>
          <w:sz w:val="24"/>
          <w:szCs w:val="24"/>
          <w:shd w:val="clear" w:color="auto" w:fill="FFFFFF"/>
        </w:rPr>
        <w:footnoteReference w:id="179"/>
      </w:r>
      <w:r w:rsidR="004E1E52" w:rsidRPr="0043224D">
        <w:rPr>
          <w:rFonts w:ascii="Times New Roman" w:hAnsi="Times New Roman" w:cs="Times New Roman"/>
          <w:sz w:val="24"/>
          <w:szCs w:val="24"/>
          <w:shd w:val="clear" w:color="auto" w:fill="FFFFFF"/>
        </w:rPr>
        <w:t xml:space="preserve"> </w:t>
      </w:r>
      <w:r w:rsidR="00186561" w:rsidRPr="0043224D">
        <w:rPr>
          <w:rFonts w:ascii="Times New Roman" w:hAnsi="Times New Roman" w:cs="Times New Roman"/>
          <w:sz w:val="24"/>
          <w:szCs w:val="24"/>
          <w:shd w:val="clear" w:color="auto" w:fill="FFFFFF"/>
        </w:rPr>
        <w:t xml:space="preserve">Therefore for example, if a group of people are evicted thus leading to displacement, national and regional courts are obliged to examine the proportionality and necessity of the eviction and the subsequent displacement and whether or not an infringement on their rights has taken place. </w:t>
      </w:r>
    </w:p>
    <w:p w:rsidR="009D6EE2" w:rsidRPr="0043224D" w:rsidRDefault="009D6EE2" w:rsidP="0043224D">
      <w:pPr>
        <w:spacing w:line="360" w:lineRule="auto"/>
        <w:rPr>
          <w:rFonts w:ascii="Times New Roman" w:hAnsi="Times New Roman" w:cs="Times New Roman"/>
          <w:sz w:val="24"/>
          <w:szCs w:val="24"/>
          <w:shd w:val="clear" w:color="auto" w:fill="FFFFFF"/>
        </w:rPr>
      </w:pPr>
    </w:p>
    <w:p w:rsidR="00CC4E38" w:rsidRPr="005A2F82" w:rsidRDefault="009D6EE2" w:rsidP="0043224D">
      <w:pPr>
        <w:pStyle w:val="Heading2"/>
        <w:spacing w:line="360" w:lineRule="auto"/>
      </w:pPr>
      <w:bookmarkStart w:id="34" w:name="_Toc399848366"/>
      <w:r>
        <w:t>5</w:t>
      </w:r>
      <w:r w:rsidR="004F5E7E" w:rsidRPr="005A2F82">
        <w:t>.</w:t>
      </w:r>
      <w:r>
        <w:t>3</w:t>
      </w:r>
      <w:r w:rsidR="00CC4E38" w:rsidRPr="005A2F82">
        <w:t xml:space="preserve"> UN Declaration on the Rights of Indigenous Peoples</w:t>
      </w:r>
      <w:bookmarkEnd w:id="34"/>
      <w:r w:rsidR="00CC4E38" w:rsidRPr="005A2F82">
        <w:t xml:space="preserve"> </w:t>
      </w:r>
    </w:p>
    <w:p w:rsidR="00493A27" w:rsidRPr="0043224D" w:rsidRDefault="000C00B5"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Despite its non-binding character, </w:t>
      </w:r>
      <w:r w:rsidR="00A71B86" w:rsidRPr="0043224D">
        <w:rPr>
          <w:rFonts w:ascii="Times New Roman" w:hAnsi="Times New Roman" w:cs="Times New Roman"/>
          <w:sz w:val="24"/>
          <w:szCs w:val="24"/>
        </w:rPr>
        <w:t xml:space="preserve">the </w:t>
      </w:r>
      <w:r w:rsidRPr="0043224D">
        <w:rPr>
          <w:rFonts w:ascii="Times New Roman" w:hAnsi="Times New Roman" w:cs="Times New Roman"/>
          <w:sz w:val="24"/>
          <w:szCs w:val="24"/>
        </w:rPr>
        <w:t>UNDRIP</w:t>
      </w:r>
      <w:r w:rsidR="005A2F82" w:rsidRPr="0043224D">
        <w:rPr>
          <w:rStyle w:val="FootnoteReference"/>
          <w:rFonts w:ascii="Times New Roman" w:hAnsi="Times New Roman" w:cs="Times New Roman"/>
          <w:sz w:val="24"/>
          <w:szCs w:val="24"/>
        </w:rPr>
        <w:footnoteReference w:id="180"/>
      </w:r>
      <w:r w:rsidRPr="0043224D">
        <w:rPr>
          <w:rFonts w:ascii="Times New Roman" w:hAnsi="Times New Roman" w:cs="Times New Roman"/>
          <w:sz w:val="24"/>
          <w:szCs w:val="24"/>
        </w:rPr>
        <w:t xml:space="preserve"> is </w:t>
      </w:r>
      <w:r w:rsidR="003E715F" w:rsidRPr="0043224D">
        <w:rPr>
          <w:rFonts w:ascii="Times New Roman" w:hAnsi="Times New Roman" w:cs="Times New Roman"/>
          <w:sz w:val="24"/>
          <w:szCs w:val="24"/>
        </w:rPr>
        <w:t>a</w:t>
      </w:r>
      <w:r w:rsidRPr="0043224D">
        <w:rPr>
          <w:rFonts w:ascii="Times New Roman" w:hAnsi="Times New Roman" w:cs="Times New Roman"/>
          <w:sz w:val="24"/>
          <w:szCs w:val="24"/>
        </w:rPr>
        <w:t xml:space="preserve"> significant development in</w:t>
      </w:r>
      <w:r w:rsidR="00B6436A" w:rsidRPr="0043224D">
        <w:rPr>
          <w:rFonts w:ascii="Times New Roman" w:hAnsi="Times New Roman" w:cs="Times New Roman"/>
          <w:sz w:val="24"/>
          <w:szCs w:val="24"/>
        </w:rPr>
        <w:t xml:space="preserve"> the </w:t>
      </w:r>
      <w:r w:rsidR="00A71B86" w:rsidRPr="0043224D">
        <w:rPr>
          <w:rFonts w:ascii="Times New Roman" w:hAnsi="Times New Roman" w:cs="Times New Roman"/>
          <w:sz w:val="24"/>
          <w:szCs w:val="24"/>
        </w:rPr>
        <w:t>progression</w:t>
      </w:r>
      <w:r w:rsidR="00B6436A" w:rsidRPr="0043224D">
        <w:rPr>
          <w:rFonts w:ascii="Times New Roman" w:hAnsi="Times New Roman" w:cs="Times New Roman"/>
          <w:sz w:val="24"/>
          <w:szCs w:val="24"/>
        </w:rPr>
        <w:t xml:space="preserve"> of the</w:t>
      </w:r>
      <w:r w:rsidRPr="0043224D">
        <w:rPr>
          <w:rFonts w:ascii="Times New Roman" w:hAnsi="Times New Roman" w:cs="Times New Roman"/>
          <w:sz w:val="24"/>
          <w:szCs w:val="24"/>
        </w:rPr>
        <w:t xml:space="preserve"> global indigenous rights framework</w:t>
      </w:r>
      <w:r w:rsidR="000D79CD" w:rsidRPr="0043224D">
        <w:rPr>
          <w:rFonts w:ascii="Times New Roman" w:hAnsi="Times New Roman" w:cs="Times New Roman"/>
          <w:sz w:val="24"/>
          <w:szCs w:val="24"/>
        </w:rPr>
        <w:t>.</w:t>
      </w:r>
      <w:r w:rsidRPr="0043224D">
        <w:rPr>
          <w:rFonts w:ascii="Times New Roman" w:hAnsi="Times New Roman" w:cs="Times New Roman"/>
          <w:sz w:val="24"/>
          <w:szCs w:val="24"/>
        </w:rPr>
        <w:t xml:space="preserve"> </w:t>
      </w:r>
      <w:r w:rsidR="00D8334F" w:rsidRPr="0043224D">
        <w:rPr>
          <w:rFonts w:ascii="Times New Roman" w:hAnsi="Times New Roman" w:cs="Times New Roman"/>
          <w:sz w:val="24"/>
          <w:szCs w:val="24"/>
        </w:rPr>
        <w:t>The Declaration was adopted in 2007 by the UN General Assembly</w:t>
      </w:r>
      <w:r w:rsidR="00B6436A" w:rsidRPr="0043224D">
        <w:rPr>
          <w:rFonts w:ascii="Times New Roman" w:hAnsi="Times New Roman" w:cs="Times New Roman"/>
          <w:sz w:val="24"/>
          <w:szCs w:val="24"/>
        </w:rPr>
        <w:t xml:space="preserve"> </w:t>
      </w:r>
      <w:r w:rsidR="00A71B86" w:rsidRPr="0043224D">
        <w:rPr>
          <w:rFonts w:ascii="Times New Roman" w:hAnsi="Times New Roman" w:cs="Times New Roman"/>
          <w:sz w:val="24"/>
          <w:szCs w:val="24"/>
        </w:rPr>
        <w:t>with</w:t>
      </w:r>
      <w:r w:rsidR="00B6436A" w:rsidRPr="0043224D">
        <w:rPr>
          <w:rFonts w:ascii="Times New Roman" w:hAnsi="Times New Roman" w:cs="Times New Roman"/>
          <w:sz w:val="24"/>
          <w:szCs w:val="24"/>
        </w:rPr>
        <w:t xml:space="preserve"> a majority vote of 144 states in favour</w:t>
      </w:r>
      <w:r w:rsidR="005A2F82" w:rsidRPr="0043224D">
        <w:rPr>
          <w:rFonts w:ascii="Times New Roman" w:hAnsi="Times New Roman" w:cs="Times New Roman"/>
          <w:sz w:val="24"/>
          <w:szCs w:val="24"/>
        </w:rPr>
        <w:t>.</w:t>
      </w:r>
      <w:r w:rsidR="005A2F82" w:rsidRPr="0043224D">
        <w:rPr>
          <w:rStyle w:val="FootnoteReference"/>
          <w:rFonts w:ascii="Times New Roman" w:hAnsi="Times New Roman" w:cs="Times New Roman"/>
          <w:sz w:val="24"/>
          <w:szCs w:val="24"/>
        </w:rPr>
        <w:footnoteReference w:id="181"/>
      </w:r>
      <w:r w:rsidR="005A2F82" w:rsidRPr="0043224D">
        <w:rPr>
          <w:rFonts w:ascii="Times New Roman" w:hAnsi="Times New Roman" w:cs="Times New Roman"/>
          <w:sz w:val="24"/>
          <w:szCs w:val="24"/>
        </w:rPr>
        <w:t xml:space="preserve"> It is the most comprehensive and progressive international human rights instrument yet established by the UN</w:t>
      </w:r>
      <w:r w:rsidR="004E665C" w:rsidRPr="0043224D">
        <w:rPr>
          <w:rFonts w:ascii="Times New Roman" w:hAnsi="Times New Roman" w:cs="Times New Roman"/>
          <w:sz w:val="24"/>
          <w:szCs w:val="24"/>
        </w:rPr>
        <w:t xml:space="preserve"> in regards to indigenous peoples</w:t>
      </w:r>
      <w:r w:rsidR="005A2F82" w:rsidRPr="0043224D">
        <w:rPr>
          <w:rFonts w:ascii="Times New Roman" w:hAnsi="Times New Roman" w:cs="Times New Roman"/>
          <w:sz w:val="24"/>
          <w:szCs w:val="24"/>
        </w:rPr>
        <w:t xml:space="preserve">, </w:t>
      </w:r>
      <w:r w:rsidR="004E665C" w:rsidRPr="0043224D">
        <w:rPr>
          <w:rFonts w:ascii="Times New Roman" w:hAnsi="Times New Roman" w:cs="Times New Roman"/>
          <w:sz w:val="24"/>
          <w:szCs w:val="24"/>
        </w:rPr>
        <w:t>engaging</w:t>
      </w:r>
      <w:r w:rsidR="005A2F82" w:rsidRPr="0043224D">
        <w:rPr>
          <w:rFonts w:ascii="Times New Roman" w:hAnsi="Times New Roman" w:cs="Times New Roman"/>
          <w:sz w:val="24"/>
          <w:szCs w:val="24"/>
        </w:rPr>
        <w:t xml:space="preserve"> both with individual and collective rights</w:t>
      </w:r>
      <w:r w:rsidR="00A71B86" w:rsidRPr="0043224D">
        <w:rPr>
          <w:rFonts w:ascii="Times New Roman" w:hAnsi="Times New Roman" w:cs="Times New Roman"/>
          <w:sz w:val="24"/>
          <w:szCs w:val="24"/>
        </w:rPr>
        <w:t>,</w:t>
      </w:r>
      <w:r w:rsidR="009A08B7" w:rsidRPr="0043224D">
        <w:rPr>
          <w:rFonts w:ascii="Times New Roman" w:hAnsi="Times New Roman" w:cs="Times New Roman"/>
          <w:sz w:val="24"/>
          <w:szCs w:val="24"/>
        </w:rPr>
        <w:t xml:space="preserve"> and reaffirming those rights</w:t>
      </w:r>
      <w:r w:rsidR="005A2F82" w:rsidRPr="0043224D">
        <w:rPr>
          <w:rFonts w:ascii="Times New Roman" w:hAnsi="Times New Roman" w:cs="Times New Roman"/>
          <w:sz w:val="24"/>
          <w:szCs w:val="24"/>
        </w:rPr>
        <w:t xml:space="preserve">. </w:t>
      </w:r>
      <w:r w:rsidR="007E181C" w:rsidRPr="0043224D">
        <w:rPr>
          <w:rFonts w:ascii="Times New Roman" w:hAnsi="Times New Roman" w:cs="Times New Roman"/>
          <w:sz w:val="24"/>
          <w:szCs w:val="24"/>
        </w:rPr>
        <w:t>Similar to other human rights instruments applicable to indigenous peoples,</w:t>
      </w:r>
      <w:r w:rsidR="00DE5D3A" w:rsidRPr="0043224D">
        <w:rPr>
          <w:rFonts w:ascii="Times New Roman" w:hAnsi="Times New Roman" w:cs="Times New Roman"/>
          <w:sz w:val="24"/>
          <w:szCs w:val="24"/>
        </w:rPr>
        <w:t xml:space="preserve"> such</w:t>
      </w:r>
      <w:r w:rsidR="009A4E5A" w:rsidRPr="0043224D">
        <w:rPr>
          <w:rFonts w:ascii="Times New Roman" w:hAnsi="Times New Roman" w:cs="Times New Roman"/>
          <w:sz w:val="24"/>
          <w:szCs w:val="24"/>
        </w:rPr>
        <w:t xml:space="preserve"> as</w:t>
      </w:r>
      <w:r w:rsidR="00DE5D3A" w:rsidRPr="0043224D">
        <w:rPr>
          <w:rFonts w:ascii="Times New Roman" w:hAnsi="Times New Roman" w:cs="Times New Roman"/>
          <w:sz w:val="24"/>
          <w:szCs w:val="24"/>
        </w:rPr>
        <w:t xml:space="preserve"> ILO 169</w:t>
      </w:r>
      <w:r w:rsidR="00ED6F51" w:rsidRPr="0043224D">
        <w:rPr>
          <w:rFonts w:ascii="Times New Roman" w:hAnsi="Times New Roman" w:cs="Times New Roman"/>
          <w:sz w:val="24"/>
          <w:szCs w:val="24"/>
        </w:rPr>
        <w:t>,</w:t>
      </w:r>
      <w:r w:rsidR="00A71B86" w:rsidRPr="0043224D">
        <w:rPr>
          <w:rFonts w:ascii="Times New Roman" w:hAnsi="Times New Roman" w:cs="Times New Roman"/>
          <w:sz w:val="24"/>
          <w:szCs w:val="24"/>
        </w:rPr>
        <w:t xml:space="preserve"> the </w:t>
      </w:r>
      <w:r w:rsidR="00ED6F51" w:rsidRPr="0043224D">
        <w:rPr>
          <w:rFonts w:ascii="Times New Roman" w:hAnsi="Times New Roman" w:cs="Times New Roman"/>
          <w:sz w:val="24"/>
          <w:szCs w:val="24"/>
        </w:rPr>
        <w:t>D</w:t>
      </w:r>
      <w:r w:rsidR="007E181C" w:rsidRPr="0043224D">
        <w:rPr>
          <w:rFonts w:ascii="Times New Roman" w:hAnsi="Times New Roman" w:cs="Times New Roman"/>
          <w:sz w:val="24"/>
          <w:szCs w:val="24"/>
        </w:rPr>
        <w:t xml:space="preserve">eclaration expressly recognises the crucial importance of land and territory to the livelihoods and cultural practices of indigenous peoples. </w:t>
      </w:r>
      <w:r w:rsidR="00DE5D3A" w:rsidRPr="0043224D">
        <w:rPr>
          <w:rFonts w:ascii="Times New Roman" w:hAnsi="Times New Roman" w:cs="Times New Roman"/>
          <w:sz w:val="24"/>
          <w:szCs w:val="24"/>
        </w:rPr>
        <w:t>Equally</w:t>
      </w:r>
      <w:r w:rsidR="00A71B86" w:rsidRPr="0043224D">
        <w:rPr>
          <w:rFonts w:ascii="Times New Roman" w:hAnsi="Times New Roman" w:cs="Times New Roman"/>
          <w:sz w:val="24"/>
          <w:szCs w:val="24"/>
        </w:rPr>
        <w:t>,</w:t>
      </w:r>
      <w:r w:rsidR="00DE5D3A" w:rsidRPr="0043224D">
        <w:rPr>
          <w:rFonts w:ascii="Times New Roman" w:hAnsi="Times New Roman" w:cs="Times New Roman"/>
          <w:sz w:val="24"/>
          <w:szCs w:val="24"/>
        </w:rPr>
        <w:t xml:space="preserve"> governments are implored in the UNDRIP, as in previous instruments from which the </w:t>
      </w:r>
      <w:r w:rsidR="00A71B86" w:rsidRPr="0043224D">
        <w:rPr>
          <w:rFonts w:ascii="Times New Roman" w:hAnsi="Times New Roman" w:cs="Times New Roman"/>
          <w:sz w:val="24"/>
          <w:szCs w:val="24"/>
        </w:rPr>
        <w:t>D</w:t>
      </w:r>
      <w:r w:rsidR="00DE5D3A" w:rsidRPr="0043224D">
        <w:rPr>
          <w:rFonts w:ascii="Times New Roman" w:hAnsi="Times New Roman" w:cs="Times New Roman"/>
          <w:sz w:val="24"/>
          <w:szCs w:val="24"/>
        </w:rPr>
        <w:t>eclaration is</w:t>
      </w:r>
      <w:r w:rsidR="002C4040" w:rsidRPr="0043224D">
        <w:rPr>
          <w:rFonts w:ascii="Times New Roman" w:hAnsi="Times New Roman" w:cs="Times New Roman"/>
          <w:sz w:val="24"/>
          <w:szCs w:val="24"/>
        </w:rPr>
        <w:t xml:space="preserve"> drawn</w:t>
      </w:r>
      <w:r w:rsidR="00DE5D3A" w:rsidRPr="0043224D">
        <w:rPr>
          <w:rFonts w:ascii="Times New Roman" w:hAnsi="Times New Roman" w:cs="Times New Roman"/>
          <w:sz w:val="24"/>
          <w:szCs w:val="24"/>
        </w:rPr>
        <w:t xml:space="preserve"> upon, to guarantee effective protection of rights to land and possession of territories, and the natural resources </w:t>
      </w:r>
      <w:r w:rsidR="00FD0B52" w:rsidRPr="0043224D">
        <w:rPr>
          <w:rFonts w:ascii="Times New Roman" w:hAnsi="Times New Roman" w:cs="Times New Roman"/>
          <w:sz w:val="24"/>
          <w:szCs w:val="24"/>
        </w:rPr>
        <w:t>thereof</w:t>
      </w:r>
      <w:r w:rsidR="005E3D08" w:rsidRPr="0043224D">
        <w:rPr>
          <w:rFonts w:ascii="Times New Roman" w:hAnsi="Times New Roman" w:cs="Times New Roman"/>
          <w:sz w:val="24"/>
          <w:szCs w:val="24"/>
        </w:rPr>
        <w:t>.</w:t>
      </w:r>
      <w:r w:rsidR="00DE5D3A" w:rsidRPr="0043224D">
        <w:rPr>
          <w:rFonts w:ascii="Times New Roman" w:hAnsi="Times New Roman" w:cs="Times New Roman"/>
          <w:sz w:val="24"/>
          <w:szCs w:val="24"/>
        </w:rPr>
        <w:t xml:space="preserve">  </w:t>
      </w:r>
      <w:r w:rsidR="005E3D08" w:rsidRPr="0043224D">
        <w:rPr>
          <w:rFonts w:ascii="Times New Roman" w:hAnsi="Times New Roman" w:cs="Times New Roman"/>
          <w:sz w:val="24"/>
          <w:szCs w:val="24"/>
        </w:rPr>
        <w:t xml:space="preserve">These rights are </w:t>
      </w:r>
      <w:r w:rsidR="009A4E5A" w:rsidRPr="0043224D">
        <w:rPr>
          <w:rFonts w:ascii="Times New Roman" w:hAnsi="Times New Roman" w:cs="Times New Roman"/>
          <w:sz w:val="24"/>
          <w:szCs w:val="24"/>
        </w:rPr>
        <w:t>explicitly articulated</w:t>
      </w:r>
      <w:r w:rsidR="005E3D08" w:rsidRPr="0043224D">
        <w:rPr>
          <w:rFonts w:ascii="Times New Roman" w:hAnsi="Times New Roman" w:cs="Times New Roman"/>
          <w:sz w:val="24"/>
          <w:szCs w:val="24"/>
        </w:rPr>
        <w:t xml:space="preserve"> for instance in article 25, “Indigenous peoples have the right to maintain and strengthen their distinctive spiritual relationship with their traditionally owned or otherwise occupied and used lands, territories, waters and coastal seas and other resources</w:t>
      </w:r>
      <w:r w:rsidR="00493A27" w:rsidRPr="0043224D">
        <w:rPr>
          <w:rFonts w:ascii="Times New Roman" w:hAnsi="Times New Roman" w:cs="Times New Roman"/>
          <w:sz w:val="24"/>
          <w:szCs w:val="24"/>
        </w:rPr>
        <w:t>.”</w:t>
      </w:r>
      <w:r w:rsidR="00493A27" w:rsidRPr="0043224D">
        <w:rPr>
          <w:rStyle w:val="FootnoteReference"/>
          <w:rFonts w:ascii="Times New Roman" w:hAnsi="Times New Roman" w:cs="Times New Roman"/>
          <w:sz w:val="24"/>
          <w:szCs w:val="24"/>
        </w:rPr>
        <w:footnoteReference w:id="182"/>
      </w:r>
      <w:r w:rsidR="005E3D08" w:rsidRPr="0043224D">
        <w:rPr>
          <w:rFonts w:ascii="Times New Roman" w:hAnsi="Times New Roman" w:cs="Times New Roman"/>
          <w:sz w:val="24"/>
          <w:szCs w:val="24"/>
        </w:rPr>
        <w:t xml:space="preserve"> </w:t>
      </w:r>
      <w:r w:rsidR="00493A27" w:rsidRPr="0043224D">
        <w:rPr>
          <w:rFonts w:ascii="Times New Roman" w:hAnsi="Times New Roman" w:cs="Times New Roman"/>
          <w:sz w:val="24"/>
          <w:szCs w:val="24"/>
        </w:rPr>
        <w:t>And</w:t>
      </w:r>
      <w:r w:rsidR="005E3D08" w:rsidRPr="0043224D">
        <w:rPr>
          <w:rFonts w:ascii="Times New Roman" w:hAnsi="Times New Roman" w:cs="Times New Roman"/>
          <w:sz w:val="24"/>
          <w:szCs w:val="24"/>
        </w:rPr>
        <w:t xml:space="preserve"> implicitly articulated in others</w:t>
      </w:r>
      <w:r w:rsidR="009A4E5A" w:rsidRPr="0043224D">
        <w:rPr>
          <w:rFonts w:ascii="Times New Roman" w:hAnsi="Times New Roman" w:cs="Times New Roman"/>
          <w:sz w:val="24"/>
          <w:szCs w:val="24"/>
        </w:rPr>
        <w:t xml:space="preserve"> where land or access to land is </w:t>
      </w:r>
      <w:r w:rsidR="00FD0B52" w:rsidRPr="0043224D">
        <w:rPr>
          <w:rFonts w:ascii="Times New Roman" w:hAnsi="Times New Roman" w:cs="Times New Roman"/>
          <w:sz w:val="24"/>
          <w:szCs w:val="24"/>
        </w:rPr>
        <w:t xml:space="preserve">indispensable </w:t>
      </w:r>
      <w:r w:rsidR="00493A27" w:rsidRPr="0043224D">
        <w:rPr>
          <w:rFonts w:ascii="Times New Roman" w:hAnsi="Times New Roman" w:cs="Times New Roman"/>
          <w:sz w:val="24"/>
          <w:szCs w:val="24"/>
        </w:rPr>
        <w:t>to the full</w:t>
      </w:r>
      <w:r w:rsidR="009A4E5A" w:rsidRPr="0043224D">
        <w:rPr>
          <w:rFonts w:ascii="Times New Roman" w:hAnsi="Times New Roman" w:cs="Times New Roman"/>
          <w:sz w:val="24"/>
          <w:szCs w:val="24"/>
        </w:rPr>
        <w:t xml:space="preserve"> enjoy</w:t>
      </w:r>
      <w:r w:rsidR="00493A27" w:rsidRPr="0043224D">
        <w:rPr>
          <w:rFonts w:ascii="Times New Roman" w:hAnsi="Times New Roman" w:cs="Times New Roman"/>
          <w:sz w:val="24"/>
          <w:szCs w:val="24"/>
        </w:rPr>
        <w:t>ment of</w:t>
      </w:r>
      <w:r w:rsidR="00EE3BA6" w:rsidRPr="0043224D">
        <w:rPr>
          <w:rFonts w:ascii="Times New Roman" w:hAnsi="Times New Roman" w:cs="Times New Roman"/>
          <w:sz w:val="24"/>
          <w:szCs w:val="24"/>
        </w:rPr>
        <w:t xml:space="preserve"> collective cultural rights</w:t>
      </w:r>
      <w:r w:rsidR="009A4E5A" w:rsidRPr="0043224D">
        <w:rPr>
          <w:rFonts w:ascii="Times New Roman" w:hAnsi="Times New Roman" w:cs="Times New Roman"/>
          <w:sz w:val="24"/>
          <w:szCs w:val="24"/>
        </w:rPr>
        <w:t xml:space="preserve"> </w:t>
      </w:r>
      <w:r w:rsidR="00493A27" w:rsidRPr="0043224D">
        <w:rPr>
          <w:rFonts w:ascii="Times New Roman" w:hAnsi="Times New Roman" w:cs="Times New Roman"/>
          <w:sz w:val="24"/>
          <w:szCs w:val="24"/>
        </w:rPr>
        <w:t>they</w:t>
      </w:r>
      <w:r w:rsidR="009A4E5A" w:rsidRPr="0043224D">
        <w:rPr>
          <w:rFonts w:ascii="Times New Roman" w:hAnsi="Times New Roman" w:cs="Times New Roman"/>
          <w:sz w:val="24"/>
          <w:szCs w:val="24"/>
        </w:rPr>
        <w:t xml:space="preserve"> have the</w:t>
      </w:r>
      <w:r w:rsidR="00EE3BA6" w:rsidRPr="0043224D">
        <w:rPr>
          <w:rFonts w:ascii="Times New Roman" w:hAnsi="Times New Roman" w:cs="Times New Roman"/>
          <w:sz w:val="24"/>
          <w:szCs w:val="24"/>
        </w:rPr>
        <w:t xml:space="preserve">, </w:t>
      </w:r>
      <w:r w:rsidR="009A4E5A" w:rsidRPr="0043224D">
        <w:rPr>
          <w:rFonts w:ascii="Times New Roman" w:hAnsi="Times New Roman" w:cs="Times New Roman"/>
          <w:sz w:val="24"/>
          <w:szCs w:val="24"/>
        </w:rPr>
        <w:t xml:space="preserve"> </w:t>
      </w:r>
      <w:r w:rsidR="00EE3BA6" w:rsidRPr="0043224D">
        <w:rPr>
          <w:rFonts w:ascii="Times New Roman" w:hAnsi="Times New Roman" w:cs="Times New Roman"/>
          <w:sz w:val="24"/>
          <w:szCs w:val="24"/>
        </w:rPr>
        <w:t>“[R]</w:t>
      </w:r>
      <w:r w:rsidR="009A4E5A" w:rsidRPr="0043224D">
        <w:rPr>
          <w:rFonts w:ascii="Times New Roman" w:hAnsi="Times New Roman" w:cs="Times New Roman"/>
          <w:sz w:val="24"/>
          <w:szCs w:val="24"/>
        </w:rPr>
        <w:t>ight to manifest, practise, develop and teach their spiritual and religious traditions, customs and ceremonies; the right to maintain, protect, and have access in privacy to their religious and cultural sites…</w:t>
      </w:r>
      <w:r w:rsidR="00F871D9" w:rsidRPr="0043224D">
        <w:rPr>
          <w:rFonts w:ascii="Times New Roman" w:hAnsi="Times New Roman" w:cs="Times New Roman"/>
          <w:sz w:val="24"/>
          <w:szCs w:val="24"/>
        </w:rPr>
        <w:t>”</w:t>
      </w:r>
      <w:r w:rsidR="009A4E5A" w:rsidRPr="0043224D">
        <w:rPr>
          <w:rStyle w:val="FootnoteReference"/>
          <w:rFonts w:ascii="Times New Roman" w:hAnsi="Times New Roman" w:cs="Times New Roman"/>
          <w:sz w:val="24"/>
          <w:szCs w:val="24"/>
        </w:rPr>
        <w:footnoteReference w:id="183"/>
      </w:r>
      <w:r w:rsidR="00FD0B52" w:rsidRPr="0043224D">
        <w:rPr>
          <w:rFonts w:ascii="Times New Roman" w:hAnsi="Times New Roman" w:cs="Times New Roman"/>
          <w:sz w:val="24"/>
          <w:szCs w:val="24"/>
        </w:rPr>
        <w:t xml:space="preserve">  </w:t>
      </w:r>
    </w:p>
    <w:p w:rsidR="00F63E9A" w:rsidRPr="0043224D" w:rsidRDefault="00EE4CEB"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There has been a rapid development in international law regarding indigenous peoples </w:t>
      </w:r>
      <w:r w:rsidR="00486A2E" w:rsidRPr="0043224D">
        <w:rPr>
          <w:rFonts w:ascii="Times New Roman" w:hAnsi="Times New Roman" w:cs="Times New Roman"/>
          <w:sz w:val="24"/>
          <w:szCs w:val="24"/>
        </w:rPr>
        <w:t>over</w:t>
      </w:r>
      <w:r w:rsidRPr="0043224D">
        <w:rPr>
          <w:rFonts w:ascii="Times New Roman" w:hAnsi="Times New Roman" w:cs="Times New Roman"/>
          <w:sz w:val="24"/>
          <w:szCs w:val="24"/>
        </w:rPr>
        <w:t xml:space="preserve"> the last twenty five years</w:t>
      </w:r>
      <w:r w:rsidR="001C0EFC" w:rsidRPr="0043224D">
        <w:rPr>
          <w:rFonts w:ascii="Times New Roman" w:hAnsi="Times New Roman" w:cs="Times New Roman"/>
          <w:sz w:val="24"/>
          <w:szCs w:val="24"/>
        </w:rPr>
        <w:t xml:space="preserve"> at both the global and regional level</w:t>
      </w:r>
      <w:r w:rsidRPr="0043224D">
        <w:rPr>
          <w:rFonts w:ascii="Times New Roman" w:hAnsi="Times New Roman" w:cs="Times New Roman"/>
          <w:sz w:val="24"/>
          <w:szCs w:val="24"/>
        </w:rPr>
        <w:t xml:space="preserve">. </w:t>
      </w:r>
      <w:r w:rsidR="00486A2E" w:rsidRPr="0043224D">
        <w:rPr>
          <w:rFonts w:ascii="Times New Roman" w:hAnsi="Times New Roman" w:cs="Times New Roman"/>
          <w:sz w:val="24"/>
          <w:szCs w:val="24"/>
        </w:rPr>
        <w:t>New standards of protection</w:t>
      </w:r>
      <w:r w:rsidR="001C0EFC" w:rsidRPr="0043224D">
        <w:rPr>
          <w:rFonts w:ascii="Times New Roman" w:hAnsi="Times New Roman" w:cs="Times New Roman"/>
          <w:sz w:val="24"/>
          <w:szCs w:val="24"/>
        </w:rPr>
        <w:t xml:space="preserve"> and guidelines</w:t>
      </w:r>
      <w:r w:rsidR="00486A2E" w:rsidRPr="0043224D">
        <w:rPr>
          <w:rFonts w:ascii="Times New Roman" w:hAnsi="Times New Roman" w:cs="Times New Roman"/>
          <w:sz w:val="24"/>
          <w:szCs w:val="24"/>
        </w:rPr>
        <w:t xml:space="preserve"> </w:t>
      </w:r>
      <w:r w:rsidR="001C0EFC" w:rsidRPr="0043224D">
        <w:rPr>
          <w:rFonts w:ascii="Times New Roman" w:hAnsi="Times New Roman" w:cs="Times New Roman"/>
          <w:sz w:val="24"/>
          <w:szCs w:val="24"/>
        </w:rPr>
        <w:t xml:space="preserve">have been devised and, critically for the implementation of those standards, monitoring mechanisms with permanent </w:t>
      </w:r>
      <w:r w:rsidR="00653598" w:rsidRPr="0043224D">
        <w:rPr>
          <w:rFonts w:ascii="Times New Roman" w:hAnsi="Times New Roman" w:cs="Times New Roman"/>
          <w:sz w:val="24"/>
          <w:szCs w:val="24"/>
        </w:rPr>
        <w:t>bodies</w:t>
      </w:r>
      <w:r w:rsidR="00C911B2" w:rsidRPr="0043224D">
        <w:rPr>
          <w:rFonts w:ascii="Times New Roman" w:hAnsi="Times New Roman" w:cs="Times New Roman"/>
          <w:sz w:val="24"/>
          <w:szCs w:val="24"/>
        </w:rPr>
        <w:t xml:space="preserve"> have been instituted</w:t>
      </w:r>
      <w:r w:rsidR="004E665C" w:rsidRPr="0043224D">
        <w:rPr>
          <w:rFonts w:ascii="Times New Roman" w:hAnsi="Times New Roman" w:cs="Times New Roman"/>
          <w:sz w:val="24"/>
          <w:szCs w:val="24"/>
        </w:rPr>
        <w:t xml:space="preserve"> </w:t>
      </w:r>
      <w:r w:rsidR="00840915" w:rsidRPr="0043224D">
        <w:rPr>
          <w:rFonts w:ascii="Times New Roman" w:hAnsi="Times New Roman" w:cs="Times New Roman"/>
          <w:sz w:val="24"/>
          <w:szCs w:val="24"/>
        </w:rPr>
        <w:t>to engage with the rights of indigenous peoples</w:t>
      </w:r>
      <w:r w:rsidR="00F60BB5" w:rsidRPr="0043224D">
        <w:rPr>
          <w:rFonts w:ascii="Times New Roman" w:hAnsi="Times New Roman" w:cs="Times New Roman"/>
          <w:sz w:val="24"/>
          <w:szCs w:val="24"/>
        </w:rPr>
        <w:t>.</w:t>
      </w:r>
      <w:r w:rsidR="00653598" w:rsidRPr="0043224D">
        <w:rPr>
          <w:rStyle w:val="FootnoteReference"/>
          <w:rFonts w:ascii="Times New Roman" w:hAnsi="Times New Roman" w:cs="Times New Roman"/>
          <w:sz w:val="24"/>
          <w:szCs w:val="24"/>
        </w:rPr>
        <w:footnoteReference w:id="184"/>
      </w:r>
      <w:r w:rsidR="00653598" w:rsidRPr="0043224D">
        <w:rPr>
          <w:rFonts w:ascii="Times New Roman" w:hAnsi="Times New Roman" w:cs="Times New Roman"/>
          <w:sz w:val="24"/>
          <w:szCs w:val="24"/>
        </w:rPr>
        <w:t xml:space="preserve"> In</w:t>
      </w:r>
      <w:r w:rsidR="001C0EFC" w:rsidRPr="0043224D">
        <w:rPr>
          <w:rFonts w:ascii="Times New Roman" w:hAnsi="Times New Roman" w:cs="Times New Roman"/>
          <w:sz w:val="24"/>
          <w:szCs w:val="24"/>
        </w:rPr>
        <w:t xml:space="preserve"> the case of the UN Declaration on the Rights of Indigenous Peoples</w:t>
      </w:r>
      <w:r w:rsidR="00493A27" w:rsidRPr="0043224D">
        <w:rPr>
          <w:rFonts w:ascii="Times New Roman" w:hAnsi="Times New Roman" w:cs="Times New Roman"/>
          <w:sz w:val="24"/>
          <w:szCs w:val="24"/>
        </w:rPr>
        <w:t xml:space="preserve"> </w:t>
      </w:r>
      <w:r w:rsidR="00C911B2" w:rsidRPr="0043224D">
        <w:rPr>
          <w:rFonts w:ascii="Times New Roman" w:hAnsi="Times New Roman" w:cs="Times New Roman"/>
          <w:sz w:val="24"/>
          <w:szCs w:val="24"/>
        </w:rPr>
        <w:t>this is reflected in</w:t>
      </w:r>
      <w:r w:rsidR="001C0EFC" w:rsidRPr="0043224D">
        <w:rPr>
          <w:rFonts w:ascii="Times New Roman" w:hAnsi="Times New Roman" w:cs="Times New Roman"/>
          <w:sz w:val="24"/>
          <w:szCs w:val="24"/>
        </w:rPr>
        <w:t xml:space="preserve"> </w:t>
      </w:r>
      <w:r w:rsidR="00653598" w:rsidRPr="0043224D">
        <w:rPr>
          <w:rFonts w:ascii="Times New Roman" w:hAnsi="Times New Roman" w:cs="Times New Roman"/>
          <w:sz w:val="24"/>
          <w:szCs w:val="24"/>
        </w:rPr>
        <w:t>a new innovation</w:t>
      </w:r>
      <w:r w:rsidR="00D1471E" w:rsidRPr="0043224D">
        <w:rPr>
          <w:rFonts w:ascii="Times New Roman" w:hAnsi="Times New Roman" w:cs="Times New Roman"/>
          <w:sz w:val="24"/>
          <w:szCs w:val="24"/>
        </w:rPr>
        <w:t xml:space="preserve"> for monitoring indigenous rights</w:t>
      </w:r>
      <w:r w:rsidR="00EE3BA6" w:rsidRPr="0043224D">
        <w:rPr>
          <w:rFonts w:ascii="Times New Roman" w:hAnsi="Times New Roman" w:cs="Times New Roman"/>
          <w:sz w:val="24"/>
          <w:szCs w:val="24"/>
        </w:rPr>
        <w:t xml:space="preserve">, </w:t>
      </w:r>
      <w:r w:rsidR="005A2F82" w:rsidRPr="0043224D">
        <w:rPr>
          <w:rFonts w:ascii="Times New Roman" w:hAnsi="Times New Roman" w:cs="Times New Roman"/>
          <w:sz w:val="24"/>
          <w:szCs w:val="24"/>
        </w:rPr>
        <w:t xml:space="preserve">the establishment of an </w:t>
      </w:r>
      <w:r w:rsidR="005A2F82" w:rsidRPr="0043224D">
        <w:rPr>
          <w:rFonts w:ascii="Times New Roman" w:eastAsia="Palatino-Roman" w:hAnsi="Times New Roman" w:cs="Times New Roman"/>
          <w:sz w:val="24"/>
          <w:szCs w:val="24"/>
        </w:rPr>
        <w:t>the Expert Mechanism on the Rights of Indigenous Peoples</w:t>
      </w:r>
      <w:r w:rsidR="00F63E9A" w:rsidRPr="0043224D">
        <w:rPr>
          <w:rFonts w:ascii="Times New Roman" w:hAnsi="Times New Roman" w:cs="Times New Roman"/>
          <w:sz w:val="24"/>
          <w:szCs w:val="24"/>
        </w:rPr>
        <w:t>.</w:t>
      </w:r>
      <w:r w:rsidR="005A2F82" w:rsidRPr="0043224D">
        <w:rPr>
          <w:rStyle w:val="FootnoteReference"/>
          <w:rFonts w:ascii="Times New Roman" w:hAnsi="Times New Roman" w:cs="Times New Roman"/>
          <w:sz w:val="24"/>
          <w:szCs w:val="24"/>
        </w:rPr>
        <w:footnoteReference w:id="185"/>
      </w:r>
      <w:r w:rsidR="005A2F82" w:rsidRPr="0043224D">
        <w:rPr>
          <w:rFonts w:ascii="Times New Roman" w:hAnsi="Times New Roman" w:cs="Times New Roman"/>
          <w:sz w:val="24"/>
          <w:szCs w:val="24"/>
        </w:rPr>
        <w:t xml:space="preserve"> </w:t>
      </w:r>
      <w:r w:rsidR="00F63E9A" w:rsidRPr="0043224D">
        <w:rPr>
          <w:rFonts w:ascii="Times New Roman" w:hAnsi="Times New Roman" w:cs="Times New Roman"/>
          <w:sz w:val="24"/>
          <w:szCs w:val="24"/>
        </w:rPr>
        <w:t>The establishment of the EMRIP complimented the</w:t>
      </w:r>
      <w:r w:rsidR="001C0EFC" w:rsidRPr="0043224D">
        <w:rPr>
          <w:rFonts w:ascii="Times New Roman" w:hAnsi="Times New Roman" w:cs="Times New Roman"/>
          <w:sz w:val="24"/>
          <w:szCs w:val="24"/>
        </w:rPr>
        <w:t xml:space="preserve"> appointment of an expert Rapporteur</w:t>
      </w:r>
      <w:r w:rsidR="00F63E9A" w:rsidRPr="0043224D">
        <w:rPr>
          <w:rFonts w:ascii="Times New Roman" w:hAnsi="Times New Roman" w:cs="Times New Roman"/>
          <w:sz w:val="24"/>
          <w:szCs w:val="24"/>
        </w:rPr>
        <w:t>.</w:t>
      </w:r>
      <w:r w:rsidR="00F63E9A" w:rsidRPr="0043224D">
        <w:rPr>
          <w:rStyle w:val="FootnoteReference"/>
          <w:rFonts w:ascii="Times New Roman" w:hAnsi="Times New Roman" w:cs="Times New Roman"/>
          <w:sz w:val="24"/>
          <w:szCs w:val="24"/>
        </w:rPr>
        <w:footnoteReference w:id="186"/>
      </w:r>
      <w:r w:rsidR="001C0EFC" w:rsidRPr="0043224D">
        <w:rPr>
          <w:rFonts w:ascii="Times New Roman" w:hAnsi="Times New Roman" w:cs="Times New Roman"/>
          <w:sz w:val="24"/>
          <w:szCs w:val="24"/>
        </w:rPr>
        <w:t xml:space="preserve"> </w:t>
      </w:r>
      <w:r w:rsidR="00F63E9A" w:rsidRPr="0043224D">
        <w:rPr>
          <w:rFonts w:ascii="Times New Roman" w:hAnsi="Times New Roman" w:cs="Times New Roman"/>
          <w:sz w:val="24"/>
          <w:szCs w:val="24"/>
        </w:rPr>
        <w:t>The Rapporteur has a</w:t>
      </w:r>
      <w:r w:rsidR="001C0EFC" w:rsidRPr="0043224D">
        <w:rPr>
          <w:rFonts w:ascii="Times New Roman" w:hAnsi="Times New Roman" w:cs="Times New Roman"/>
          <w:sz w:val="24"/>
          <w:szCs w:val="24"/>
        </w:rPr>
        <w:t xml:space="preserve"> specific</w:t>
      </w:r>
      <w:r w:rsidR="00003E3B" w:rsidRPr="0043224D">
        <w:rPr>
          <w:rFonts w:ascii="Times New Roman" w:hAnsi="Times New Roman" w:cs="Times New Roman"/>
          <w:sz w:val="24"/>
          <w:szCs w:val="24"/>
        </w:rPr>
        <w:t xml:space="preserve"> thematic</w:t>
      </w:r>
      <w:r w:rsidR="001C0EFC" w:rsidRPr="0043224D">
        <w:rPr>
          <w:rFonts w:ascii="Times New Roman" w:hAnsi="Times New Roman" w:cs="Times New Roman"/>
          <w:sz w:val="24"/>
          <w:szCs w:val="24"/>
        </w:rPr>
        <w:t xml:space="preserve"> mandate </w:t>
      </w:r>
      <w:r w:rsidR="00653598" w:rsidRPr="0043224D">
        <w:rPr>
          <w:rFonts w:ascii="Times New Roman" w:hAnsi="Times New Roman" w:cs="Times New Roman"/>
          <w:sz w:val="24"/>
          <w:szCs w:val="24"/>
        </w:rPr>
        <w:t>to</w:t>
      </w:r>
      <w:r w:rsidR="00D1471E" w:rsidRPr="0043224D">
        <w:rPr>
          <w:rFonts w:ascii="Times New Roman" w:hAnsi="Times New Roman" w:cs="Times New Roman"/>
          <w:sz w:val="24"/>
          <w:szCs w:val="24"/>
        </w:rPr>
        <w:t xml:space="preserve"> report and</w:t>
      </w:r>
      <w:r w:rsidR="00653598" w:rsidRPr="0043224D">
        <w:rPr>
          <w:rFonts w:ascii="Times New Roman" w:hAnsi="Times New Roman" w:cs="Times New Roman"/>
          <w:sz w:val="24"/>
          <w:szCs w:val="24"/>
        </w:rPr>
        <w:t xml:space="preserve"> monitor, inter alia, laws and government programmes related to indigenous peoples; report on the situation of indigenous peoples in selected countries; </w:t>
      </w:r>
      <w:r w:rsidR="00C911B2" w:rsidRPr="0043224D">
        <w:rPr>
          <w:rFonts w:ascii="Times New Roman" w:hAnsi="Times New Roman" w:cs="Times New Roman"/>
          <w:sz w:val="24"/>
          <w:szCs w:val="24"/>
        </w:rPr>
        <w:t xml:space="preserve">and, </w:t>
      </w:r>
      <w:r w:rsidR="00653598" w:rsidRPr="0043224D">
        <w:rPr>
          <w:rFonts w:ascii="Times New Roman" w:hAnsi="Times New Roman" w:cs="Times New Roman"/>
          <w:sz w:val="24"/>
          <w:szCs w:val="24"/>
        </w:rPr>
        <w:t>through communications</w:t>
      </w:r>
      <w:r w:rsidR="00C911B2" w:rsidRPr="0043224D">
        <w:rPr>
          <w:rFonts w:ascii="Times New Roman" w:hAnsi="Times New Roman" w:cs="Times New Roman"/>
          <w:sz w:val="24"/>
          <w:szCs w:val="24"/>
        </w:rPr>
        <w:t xml:space="preserve"> with governments</w:t>
      </w:r>
      <w:r w:rsidR="00653598" w:rsidRPr="0043224D">
        <w:rPr>
          <w:rFonts w:ascii="Times New Roman" w:hAnsi="Times New Roman" w:cs="Times New Roman"/>
          <w:sz w:val="24"/>
          <w:szCs w:val="24"/>
        </w:rPr>
        <w:t>, address specific cases of</w:t>
      </w:r>
      <w:r w:rsidR="00C911B2" w:rsidRPr="0043224D">
        <w:rPr>
          <w:rFonts w:ascii="Times New Roman" w:hAnsi="Times New Roman" w:cs="Times New Roman"/>
          <w:sz w:val="24"/>
          <w:szCs w:val="24"/>
        </w:rPr>
        <w:t xml:space="preserve"> human rights</w:t>
      </w:r>
      <w:r w:rsidR="00653598" w:rsidRPr="0043224D">
        <w:rPr>
          <w:rFonts w:ascii="Times New Roman" w:hAnsi="Times New Roman" w:cs="Times New Roman"/>
          <w:sz w:val="24"/>
          <w:szCs w:val="24"/>
        </w:rPr>
        <w:t xml:space="preserve"> violations</w:t>
      </w:r>
      <w:r w:rsidR="00C911B2" w:rsidRPr="0043224D">
        <w:rPr>
          <w:rFonts w:ascii="Times New Roman" w:hAnsi="Times New Roman" w:cs="Times New Roman"/>
          <w:sz w:val="24"/>
          <w:szCs w:val="24"/>
        </w:rPr>
        <w:t>.</w:t>
      </w:r>
      <w:r w:rsidR="00A631ED" w:rsidRPr="0043224D">
        <w:rPr>
          <w:rStyle w:val="FootnoteReference"/>
          <w:rFonts w:ascii="Times New Roman" w:hAnsi="Times New Roman" w:cs="Times New Roman"/>
          <w:sz w:val="24"/>
          <w:szCs w:val="24"/>
        </w:rPr>
        <w:footnoteReference w:id="187"/>
      </w:r>
      <w:r w:rsidR="00C911B2" w:rsidRPr="0043224D">
        <w:rPr>
          <w:rFonts w:ascii="Times New Roman" w:hAnsi="Times New Roman" w:cs="Times New Roman"/>
          <w:sz w:val="24"/>
          <w:szCs w:val="24"/>
        </w:rPr>
        <w:t xml:space="preserve"> </w:t>
      </w:r>
    </w:p>
    <w:p w:rsidR="00780472" w:rsidRPr="0043224D" w:rsidRDefault="00493A27"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As in other domains of international law, there is a significant implementation gap in the application of indigenous rights between the</w:t>
      </w:r>
      <w:r w:rsidR="00780472" w:rsidRPr="0043224D">
        <w:rPr>
          <w:rFonts w:ascii="Times New Roman" w:hAnsi="Times New Roman" w:cs="Times New Roman"/>
          <w:sz w:val="24"/>
          <w:szCs w:val="24"/>
        </w:rPr>
        <w:t xml:space="preserve"> promise of</w:t>
      </w:r>
      <w:r w:rsidRPr="0043224D">
        <w:rPr>
          <w:rFonts w:ascii="Times New Roman" w:hAnsi="Times New Roman" w:cs="Times New Roman"/>
          <w:sz w:val="24"/>
          <w:szCs w:val="24"/>
        </w:rPr>
        <w:t xml:space="preserve"> </w:t>
      </w:r>
      <w:r w:rsidR="00780472" w:rsidRPr="0043224D">
        <w:rPr>
          <w:rFonts w:ascii="Times New Roman" w:hAnsi="Times New Roman" w:cs="Times New Roman"/>
          <w:sz w:val="24"/>
          <w:szCs w:val="24"/>
        </w:rPr>
        <w:t>statutory law and case law,</w:t>
      </w:r>
      <w:r w:rsidRPr="0043224D">
        <w:rPr>
          <w:rFonts w:ascii="Times New Roman" w:hAnsi="Times New Roman" w:cs="Times New Roman"/>
          <w:sz w:val="24"/>
          <w:szCs w:val="24"/>
        </w:rPr>
        <w:t xml:space="preserve"> </w:t>
      </w:r>
      <w:r w:rsidR="00780472" w:rsidRPr="0043224D">
        <w:rPr>
          <w:rFonts w:ascii="Times New Roman" w:hAnsi="Times New Roman" w:cs="Times New Roman"/>
          <w:sz w:val="24"/>
          <w:szCs w:val="24"/>
        </w:rPr>
        <w:t xml:space="preserve">and the actual practice of those laws. As this thesis demonstrates, this is especially </w:t>
      </w:r>
      <w:r w:rsidR="00F63E9A" w:rsidRPr="0043224D">
        <w:rPr>
          <w:rFonts w:ascii="Times New Roman" w:hAnsi="Times New Roman" w:cs="Times New Roman"/>
          <w:sz w:val="24"/>
          <w:szCs w:val="24"/>
        </w:rPr>
        <w:t xml:space="preserve">so in relation to land rights. </w:t>
      </w:r>
      <w:r w:rsidR="00780472" w:rsidRPr="0043224D">
        <w:rPr>
          <w:rFonts w:ascii="Times New Roman" w:hAnsi="Times New Roman" w:cs="Times New Roman"/>
          <w:sz w:val="24"/>
          <w:szCs w:val="24"/>
        </w:rPr>
        <w:t>In this connection, t</w:t>
      </w:r>
      <w:r w:rsidR="00AF0288" w:rsidRPr="0043224D">
        <w:rPr>
          <w:rFonts w:ascii="Times New Roman" w:hAnsi="Times New Roman" w:cs="Times New Roman"/>
          <w:sz w:val="24"/>
          <w:szCs w:val="24"/>
        </w:rPr>
        <w:t>he establishment of an explicit category of rights specific to indigenous peoples, and therefore</w:t>
      </w:r>
      <w:r w:rsidR="00003E3B" w:rsidRPr="0043224D">
        <w:rPr>
          <w:rFonts w:ascii="Times New Roman" w:hAnsi="Times New Roman" w:cs="Times New Roman"/>
          <w:sz w:val="24"/>
          <w:szCs w:val="24"/>
        </w:rPr>
        <w:t xml:space="preserve"> the establishment of</w:t>
      </w:r>
      <w:r w:rsidR="00AF0288" w:rsidRPr="0043224D">
        <w:rPr>
          <w:rFonts w:ascii="Times New Roman" w:hAnsi="Times New Roman" w:cs="Times New Roman"/>
          <w:sz w:val="24"/>
          <w:szCs w:val="24"/>
        </w:rPr>
        <w:t xml:space="preserve"> a specific group of rights-holders, within the UN system is</w:t>
      </w:r>
      <w:r w:rsidR="004C5446" w:rsidRPr="0043224D">
        <w:rPr>
          <w:rFonts w:ascii="Times New Roman" w:hAnsi="Times New Roman" w:cs="Times New Roman"/>
          <w:sz w:val="24"/>
          <w:szCs w:val="24"/>
        </w:rPr>
        <w:t xml:space="preserve"> not only</w:t>
      </w:r>
      <w:r w:rsidR="00AF0288" w:rsidRPr="0043224D">
        <w:rPr>
          <w:rFonts w:ascii="Times New Roman" w:hAnsi="Times New Roman" w:cs="Times New Roman"/>
          <w:sz w:val="24"/>
          <w:szCs w:val="24"/>
        </w:rPr>
        <w:t xml:space="preserve"> a major step in recognising the</w:t>
      </w:r>
      <w:r w:rsidR="00F3139D" w:rsidRPr="0043224D">
        <w:rPr>
          <w:rFonts w:ascii="Times New Roman" w:hAnsi="Times New Roman" w:cs="Times New Roman"/>
          <w:sz w:val="24"/>
          <w:szCs w:val="24"/>
        </w:rPr>
        <w:t xml:space="preserve"> potential</w:t>
      </w:r>
      <w:r w:rsidR="00AF0288" w:rsidRPr="0043224D">
        <w:rPr>
          <w:rFonts w:ascii="Times New Roman" w:hAnsi="Times New Roman" w:cs="Times New Roman"/>
          <w:sz w:val="24"/>
          <w:szCs w:val="24"/>
        </w:rPr>
        <w:t xml:space="preserve"> </w:t>
      </w:r>
      <w:r w:rsidR="00AF0288" w:rsidRPr="0043224D">
        <w:rPr>
          <w:rFonts w:ascii="Times New Roman" w:hAnsi="Times New Roman" w:cs="Times New Roman"/>
          <w:i/>
          <w:sz w:val="24"/>
          <w:szCs w:val="24"/>
        </w:rPr>
        <w:t>sui generis</w:t>
      </w:r>
      <w:r w:rsidR="00F3139D" w:rsidRPr="0043224D">
        <w:rPr>
          <w:rStyle w:val="FootnoteReference"/>
          <w:rFonts w:ascii="Times New Roman" w:hAnsi="Times New Roman" w:cs="Times New Roman"/>
          <w:sz w:val="24"/>
          <w:szCs w:val="24"/>
        </w:rPr>
        <w:footnoteReference w:id="188"/>
      </w:r>
      <w:r w:rsidR="00AF0288" w:rsidRPr="0043224D">
        <w:rPr>
          <w:rFonts w:ascii="Times New Roman" w:hAnsi="Times New Roman" w:cs="Times New Roman"/>
          <w:i/>
          <w:sz w:val="24"/>
          <w:szCs w:val="24"/>
        </w:rPr>
        <w:t xml:space="preserve"> </w:t>
      </w:r>
      <w:r w:rsidR="00AF0288" w:rsidRPr="0043224D">
        <w:rPr>
          <w:rFonts w:ascii="Times New Roman" w:hAnsi="Times New Roman" w:cs="Times New Roman"/>
          <w:sz w:val="24"/>
          <w:szCs w:val="24"/>
        </w:rPr>
        <w:t xml:space="preserve">nature of their rights claims in connection to land and territories, but it also serves both a symbolic and practical purpose. </w:t>
      </w:r>
      <w:r w:rsidR="005A2F82" w:rsidRPr="0043224D">
        <w:rPr>
          <w:rFonts w:ascii="Times New Roman" w:hAnsi="Times New Roman" w:cs="Times New Roman"/>
          <w:sz w:val="24"/>
          <w:szCs w:val="24"/>
        </w:rPr>
        <w:t xml:space="preserve">In this regard, </w:t>
      </w:r>
      <w:r w:rsidR="005A2F82" w:rsidRPr="0043224D">
        <w:rPr>
          <w:rFonts w:ascii="Times New Roman" w:eastAsia="Palatino-Roman" w:hAnsi="Times New Roman" w:cs="Times New Roman"/>
          <w:sz w:val="24"/>
          <w:szCs w:val="24"/>
        </w:rPr>
        <w:t>the expert mechanism and</w:t>
      </w:r>
      <w:r w:rsidR="00941E7F" w:rsidRPr="0043224D">
        <w:rPr>
          <w:rFonts w:ascii="Times New Roman" w:eastAsia="Palatino-Roman" w:hAnsi="Times New Roman" w:cs="Times New Roman"/>
          <w:sz w:val="24"/>
          <w:szCs w:val="24"/>
        </w:rPr>
        <w:t xml:space="preserve"> the special</w:t>
      </w:r>
      <w:r w:rsidR="005A2F82" w:rsidRPr="0043224D">
        <w:rPr>
          <w:rFonts w:ascii="Times New Roman" w:eastAsia="Palatino-Roman" w:hAnsi="Times New Roman" w:cs="Times New Roman"/>
          <w:sz w:val="24"/>
          <w:szCs w:val="24"/>
        </w:rPr>
        <w:t xml:space="preserve"> rapporteur are key legal tools and human rights mechanisms</w:t>
      </w:r>
      <w:r w:rsidR="00445C06" w:rsidRPr="0043224D">
        <w:rPr>
          <w:rFonts w:ascii="Times New Roman" w:eastAsia="Palatino-Roman" w:hAnsi="Times New Roman" w:cs="Times New Roman"/>
          <w:sz w:val="24"/>
          <w:szCs w:val="24"/>
        </w:rPr>
        <w:t>.</w:t>
      </w:r>
      <w:r w:rsidR="00780472" w:rsidRPr="0043224D">
        <w:rPr>
          <w:rFonts w:ascii="Times New Roman" w:hAnsi="Times New Roman" w:cs="Times New Roman"/>
          <w:sz w:val="24"/>
          <w:szCs w:val="24"/>
        </w:rPr>
        <w:t xml:space="preserve"> In addition, the adoption of UNDRIP by the UN General Assembly codifies and affirms for the first time a range of substantive and procedural rights directly related to indigenous peoples, augmenting and strengthening the international legal framework protecting the</w:t>
      </w:r>
      <w:r w:rsidR="00FC2204" w:rsidRPr="0043224D">
        <w:rPr>
          <w:rFonts w:ascii="Times New Roman" w:hAnsi="Times New Roman" w:cs="Times New Roman"/>
          <w:sz w:val="24"/>
          <w:szCs w:val="24"/>
        </w:rPr>
        <w:t>m</w:t>
      </w:r>
      <w:r w:rsidR="00780472" w:rsidRPr="0043224D">
        <w:rPr>
          <w:rFonts w:ascii="Times New Roman" w:hAnsi="Times New Roman" w:cs="Times New Roman"/>
          <w:sz w:val="24"/>
          <w:szCs w:val="24"/>
        </w:rPr>
        <w:t xml:space="preserve">.   </w:t>
      </w:r>
    </w:p>
    <w:p w:rsidR="00F60BB5" w:rsidRPr="0043224D" w:rsidRDefault="00C911B2" w:rsidP="0043224D">
      <w:pPr>
        <w:spacing w:line="360" w:lineRule="auto"/>
        <w:rPr>
          <w:rFonts w:ascii="Times New Roman" w:hAnsi="Times New Roman" w:cs="Times New Roman"/>
          <w:sz w:val="24"/>
          <w:szCs w:val="24"/>
        </w:rPr>
      </w:pPr>
      <w:r w:rsidRPr="0043224D">
        <w:rPr>
          <w:rFonts w:ascii="Times New Roman" w:hAnsi="Times New Roman" w:cs="Times New Roman"/>
          <w:sz w:val="24"/>
          <w:szCs w:val="24"/>
        </w:rPr>
        <w:t xml:space="preserve">Although </w:t>
      </w:r>
      <w:r w:rsidR="006148DD" w:rsidRPr="0043224D">
        <w:rPr>
          <w:rFonts w:ascii="Times New Roman" w:hAnsi="Times New Roman" w:cs="Times New Roman"/>
          <w:sz w:val="24"/>
          <w:szCs w:val="24"/>
        </w:rPr>
        <w:t>UNDRIP</w:t>
      </w:r>
      <w:r w:rsidRPr="0043224D">
        <w:rPr>
          <w:rFonts w:ascii="Times New Roman" w:hAnsi="Times New Roman" w:cs="Times New Roman"/>
          <w:sz w:val="24"/>
          <w:szCs w:val="24"/>
        </w:rPr>
        <w:t xml:space="preserve"> is n</w:t>
      </w:r>
      <w:r w:rsidR="00F60BB5" w:rsidRPr="0043224D">
        <w:rPr>
          <w:rFonts w:ascii="Times New Roman" w:hAnsi="Times New Roman" w:cs="Times New Roman"/>
          <w:sz w:val="24"/>
          <w:szCs w:val="24"/>
        </w:rPr>
        <w:t>ot a treaty and is therefore does not have</w:t>
      </w:r>
      <w:r w:rsidRPr="0043224D">
        <w:rPr>
          <w:rFonts w:ascii="Times New Roman" w:hAnsi="Times New Roman" w:cs="Times New Roman"/>
          <w:sz w:val="24"/>
          <w:szCs w:val="24"/>
        </w:rPr>
        <w:t xml:space="preserve"> binding</w:t>
      </w:r>
      <w:r w:rsidR="00F60BB5" w:rsidRPr="0043224D">
        <w:rPr>
          <w:rFonts w:ascii="Times New Roman" w:hAnsi="Times New Roman" w:cs="Times New Roman"/>
          <w:sz w:val="24"/>
          <w:szCs w:val="24"/>
        </w:rPr>
        <w:t xml:space="preserve"> status in international law</w:t>
      </w:r>
      <w:r w:rsidRPr="0043224D">
        <w:rPr>
          <w:rFonts w:ascii="Times New Roman" w:hAnsi="Times New Roman" w:cs="Times New Roman"/>
          <w:sz w:val="24"/>
          <w:szCs w:val="24"/>
        </w:rPr>
        <w:t>, as a human rights instrument</w:t>
      </w:r>
      <w:r w:rsidR="00AE0D33" w:rsidRPr="0043224D">
        <w:rPr>
          <w:rFonts w:ascii="Times New Roman" w:hAnsi="Times New Roman" w:cs="Times New Roman"/>
          <w:sz w:val="24"/>
          <w:szCs w:val="24"/>
        </w:rPr>
        <w:t xml:space="preserve"> however</w:t>
      </w:r>
      <w:r w:rsidRPr="0043224D">
        <w:rPr>
          <w:rFonts w:ascii="Times New Roman" w:hAnsi="Times New Roman" w:cs="Times New Roman"/>
          <w:sz w:val="24"/>
          <w:szCs w:val="24"/>
        </w:rPr>
        <w:t xml:space="preserve"> it does have</w:t>
      </w:r>
      <w:r w:rsidR="008B65FA" w:rsidRPr="0043224D">
        <w:rPr>
          <w:rFonts w:ascii="Times New Roman" w:hAnsi="Times New Roman" w:cs="Times New Roman"/>
          <w:sz w:val="24"/>
          <w:szCs w:val="24"/>
        </w:rPr>
        <w:t xml:space="preserve"> both </w:t>
      </w:r>
      <w:r w:rsidR="006B42F6" w:rsidRPr="0043224D">
        <w:rPr>
          <w:rFonts w:ascii="Times New Roman" w:hAnsi="Times New Roman" w:cs="Times New Roman"/>
          <w:sz w:val="24"/>
          <w:szCs w:val="24"/>
        </w:rPr>
        <w:t>moral</w:t>
      </w:r>
      <w:r w:rsidR="008B65FA" w:rsidRPr="0043224D">
        <w:rPr>
          <w:rFonts w:ascii="Times New Roman" w:hAnsi="Times New Roman" w:cs="Times New Roman"/>
          <w:sz w:val="24"/>
          <w:szCs w:val="24"/>
        </w:rPr>
        <w:t xml:space="preserve"> </w:t>
      </w:r>
      <w:r w:rsidR="006148DD" w:rsidRPr="0043224D">
        <w:rPr>
          <w:rFonts w:ascii="Times New Roman" w:hAnsi="Times New Roman" w:cs="Times New Roman"/>
          <w:sz w:val="24"/>
          <w:szCs w:val="24"/>
        </w:rPr>
        <w:t>and normative</w:t>
      </w:r>
      <w:r w:rsidRPr="0043224D">
        <w:rPr>
          <w:rFonts w:ascii="Times New Roman" w:hAnsi="Times New Roman" w:cs="Times New Roman"/>
          <w:sz w:val="24"/>
          <w:szCs w:val="24"/>
        </w:rPr>
        <w:t xml:space="preserve"> influence and effect in the sense that its provisions </w:t>
      </w:r>
      <w:r w:rsidR="00840915" w:rsidRPr="0043224D">
        <w:rPr>
          <w:rFonts w:ascii="Times New Roman" w:hAnsi="Times New Roman" w:cs="Times New Roman"/>
          <w:sz w:val="24"/>
          <w:szCs w:val="24"/>
        </w:rPr>
        <w:t xml:space="preserve">lay down </w:t>
      </w:r>
      <w:r w:rsidRPr="0043224D">
        <w:rPr>
          <w:rFonts w:ascii="Times New Roman" w:hAnsi="Times New Roman" w:cs="Times New Roman"/>
          <w:sz w:val="24"/>
          <w:szCs w:val="24"/>
        </w:rPr>
        <w:t>an array of human rights standards</w:t>
      </w:r>
      <w:r w:rsidR="00DD009B" w:rsidRPr="0043224D">
        <w:rPr>
          <w:rFonts w:ascii="Times New Roman" w:hAnsi="Times New Roman" w:cs="Times New Roman"/>
          <w:sz w:val="24"/>
          <w:szCs w:val="24"/>
        </w:rPr>
        <w:t xml:space="preserve"> and obligations</w:t>
      </w:r>
      <w:r w:rsidRPr="0043224D">
        <w:rPr>
          <w:rFonts w:ascii="Times New Roman" w:hAnsi="Times New Roman" w:cs="Times New Roman"/>
          <w:sz w:val="24"/>
          <w:szCs w:val="24"/>
        </w:rPr>
        <w:t xml:space="preserve">, </w:t>
      </w:r>
      <w:r w:rsidR="00DD009B" w:rsidRPr="0043224D">
        <w:rPr>
          <w:rFonts w:ascii="Times New Roman" w:hAnsi="Times New Roman" w:cs="Times New Roman"/>
          <w:sz w:val="24"/>
          <w:szCs w:val="24"/>
        </w:rPr>
        <w:t>by articulating</w:t>
      </w:r>
      <w:r w:rsidR="00840915" w:rsidRPr="0043224D">
        <w:rPr>
          <w:rFonts w:ascii="Times New Roman" w:hAnsi="Times New Roman" w:cs="Times New Roman"/>
          <w:sz w:val="24"/>
          <w:szCs w:val="24"/>
        </w:rPr>
        <w:t xml:space="preserve"> those standards </w:t>
      </w:r>
      <w:r w:rsidR="00DD009B" w:rsidRPr="0043224D">
        <w:rPr>
          <w:rFonts w:ascii="Times New Roman" w:hAnsi="Times New Roman" w:cs="Times New Roman"/>
          <w:sz w:val="24"/>
          <w:szCs w:val="24"/>
        </w:rPr>
        <w:t xml:space="preserve">for the first time </w:t>
      </w:r>
      <w:r w:rsidR="00840915" w:rsidRPr="0043224D">
        <w:rPr>
          <w:rFonts w:ascii="Times New Roman" w:hAnsi="Times New Roman" w:cs="Times New Roman"/>
          <w:sz w:val="24"/>
          <w:szCs w:val="24"/>
        </w:rPr>
        <w:t>in a global human rights document.</w:t>
      </w:r>
      <w:r w:rsidR="00F60BB5" w:rsidRPr="0043224D">
        <w:rPr>
          <w:rStyle w:val="FootnoteReference"/>
          <w:rFonts w:ascii="Times New Roman" w:hAnsi="Times New Roman" w:cs="Times New Roman"/>
          <w:sz w:val="24"/>
          <w:szCs w:val="24"/>
        </w:rPr>
        <w:footnoteReference w:id="189"/>
      </w:r>
      <w:r w:rsidR="00B8635A" w:rsidRPr="0043224D">
        <w:rPr>
          <w:rFonts w:ascii="Times New Roman" w:hAnsi="Times New Roman" w:cs="Times New Roman"/>
          <w:sz w:val="24"/>
          <w:szCs w:val="24"/>
        </w:rPr>
        <w:t xml:space="preserve"> </w:t>
      </w:r>
      <w:r w:rsidR="00F145C3" w:rsidRPr="0043224D">
        <w:rPr>
          <w:rFonts w:ascii="Times New Roman" w:hAnsi="Times New Roman" w:cs="Times New Roman"/>
          <w:sz w:val="24"/>
          <w:szCs w:val="24"/>
        </w:rPr>
        <w:t>It is also of note that the</w:t>
      </w:r>
      <w:r w:rsidR="00B6062A" w:rsidRPr="0043224D">
        <w:rPr>
          <w:rFonts w:ascii="Times New Roman" w:hAnsi="Times New Roman" w:cs="Times New Roman"/>
          <w:sz w:val="24"/>
          <w:szCs w:val="24"/>
        </w:rPr>
        <w:t xml:space="preserve"> instrument is</w:t>
      </w:r>
      <w:r w:rsidR="00F145C3" w:rsidRPr="0043224D">
        <w:rPr>
          <w:rFonts w:ascii="Times New Roman" w:hAnsi="Times New Roman" w:cs="Times New Roman"/>
          <w:sz w:val="24"/>
          <w:szCs w:val="24"/>
        </w:rPr>
        <w:t xml:space="preserve"> distinctive in international human rights law</w:t>
      </w:r>
      <w:r w:rsidR="00B6062A" w:rsidRPr="0043224D">
        <w:rPr>
          <w:rFonts w:ascii="Times New Roman" w:hAnsi="Times New Roman" w:cs="Times New Roman"/>
          <w:sz w:val="24"/>
          <w:szCs w:val="24"/>
        </w:rPr>
        <w:t xml:space="preserve"> in that it gives prominence to collective rights in a way that is</w:t>
      </w:r>
      <w:r w:rsidR="00F145C3" w:rsidRPr="0043224D">
        <w:rPr>
          <w:rFonts w:ascii="Times New Roman" w:hAnsi="Times New Roman" w:cs="Times New Roman"/>
          <w:sz w:val="24"/>
          <w:szCs w:val="24"/>
        </w:rPr>
        <w:t xml:space="preserve"> </w:t>
      </w:r>
      <w:r w:rsidR="00B6062A" w:rsidRPr="0043224D">
        <w:rPr>
          <w:rFonts w:ascii="Times New Roman" w:hAnsi="Times New Roman" w:cs="Times New Roman"/>
          <w:sz w:val="24"/>
          <w:szCs w:val="24"/>
        </w:rPr>
        <w:t>unique</w:t>
      </w:r>
      <w:r w:rsidR="006B42F6" w:rsidRPr="0043224D">
        <w:rPr>
          <w:rFonts w:ascii="Times New Roman" w:hAnsi="Times New Roman" w:cs="Times New Roman"/>
          <w:sz w:val="24"/>
          <w:szCs w:val="24"/>
        </w:rPr>
        <w:t xml:space="preserve"> in international law, thereby, potentially, furthering and embedding the concept of indigenous rights as solidarity rights in the global lexicon of human rights</w:t>
      </w:r>
      <w:r w:rsidR="00F145C3" w:rsidRPr="0043224D">
        <w:rPr>
          <w:rFonts w:ascii="Times New Roman" w:hAnsi="Times New Roman" w:cs="Times New Roman"/>
          <w:sz w:val="24"/>
          <w:szCs w:val="24"/>
        </w:rPr>
        <w:t>.</w:t>
      </w:r>
      <w:r w:rsidR="0085519A" w:rsidRPr="0043224D">
        <w:rPr>
          <w:rStyle w:val="FootnoteReference"/>
          <w:rFonts w:ascii="Times New Roman" w:hAnsi="Times New Roman" w:cs="Times New Roman"/>
          <w:sz w:val="24"/>
          <w:szCs w:val="24"/>
        </w:rPr>
        <w:footnoteReference w:id="190"/>
      </w:r>
      <w:r w:rsidR="00DD009B" w:rsidRPr="0043224D">
        <w:rPr>
          <w:rFonts w:ascii="Times New Roman" w:hAnsi="Times New Roman" w:cs="Times New Roman"/>
          <w:sz w:val="24"/>
          <w:szCs w:val="24"/>
        </w:rPr>
        <w:t xml:space="preserve"> </w:t>
      </w:r>
      <w:r w:rsidR="007872D8" w:rsidRPr="0043224D">
        <w:rPr>
          <w:rFonts w:ascii="Times New Roman" w:hAnsi="Times New Roman" w:cs="Times New Roman"/>
          <w:sz w:val="24"/>
          <w:szCs w:val="24"/>
        </w:rPr>
        <w:t xml:space="preserve"> The</w:t>
      </w:r>
      <w:r w:rsidR="00DD009B" w:rsidRPr="0043224D">
        <w:rPr>
          <w:rFonts w:ascii="Times New Roman" w:hAnsi="Times New Roman" w:cs="Times New Roman"/>
          <w:sz w:val="24"/>
          <w:szCs w:val="24"/>
        </w:rPr>
        <w:t xml:space="preserve"> Declaration can also be seen as an instrument which is built on the well establish principles of international human </w:t>
      </w:r>
      <w:r w:rsidR="00880CD3" w:rsidRPr="0043224D">
        <w:rPr>
          <w:rFonts w:ascii="Times New Roman" w:hAnsi="Times New Roman" w:cs="Times New Roman"/>
          <w:sz w:val="24"/>
          <w:szCs w:val="24"/>
        </w:rPr>
        <w:t>rights law, amongst them: equality, property, non-discrimination, and cultural integrity,</w:t>
      </w:r>
      <w:r w:rsidR="00DD009B" w:rsidRPr="0043224D">
        <w:rPr>
          <w:rFonts w:ascii="Times New Roman" w:hAnsi="Times New Roman" w:cs="Times New Roman"/>
          <w:sz w:val="24"/>
          <w:szCs w:val="24"/>
        </w:rPr>
        <w:t xml:space="preserve"> as James Anaya</w:t>
      </w:r>
      <w:r w:rsidR="00880CD3" w:rsidRPr="0043224D">
        <w:rPr>
          <w:rFonts w:ascii="Times New Roman" w:hAnsi="Times New Roman" w:cs="Times New Roman"/>
          <w:sz w:val="24"/>
          <w:szCs w:val="24"/>
        </w:rPr>
        <w:t xml:space="preserve"> observes.</w:t>
      </w:r>
      <w:r w:rsidR="00880CD3" w:rsidRPr="0043224D">
        <w:rPr>
          <w:rStyle w:val="FootnoteReference"/>
          <w:rFonts w:ascii="Times New Roman" w:hAnsi="Times New Roman" w:cs="Times New Roman"/>
          <w:sz w:val="24"/>
          <w:szCs w:val="24"/>
        </w:rPr>
        <w:footnoteReference w:id="191"/>
      </w:r>
      <w:r w:rsidR="00DD009B" w:rsidRPr="0043224D">
        <w:rPr>
          <w:rFonts w:ascii="Times New Roman" w:hAnsi="Times New Roman" w:cs="Times New Roman"/>
          <w:sz w:val="24"/>
          <w:szCs w:val="24"/>
        </w:rPr>
        <w:t xml:space="preserve">  </w:t>
      </w:r>
      <w:r w:rsidR="00A51AC1" w:rsidRPr="0043224D">
        <w:rPr>
          <w:rFonts w:ascii="Times New Roman" w:hAnsi="Times New Roman" w:cs="Times New Roman"/>
          <w:sz w:val="24"/>
          <w:szCs w:val="24"/>
        </w:rPr>
        <w:t xml:space="preserve">On the other hand, the Declaration has been </w:t>
      </w:r>
      <w:r w:rsidR="00273105" w:rsidRPr="0043224D">
        <w:rPr>
          <w:rFonts w:ascii="Times New Roman" w:hAnsi="Times New Roman" w:cs="Times New Roman"/>
          <w:sz w:val="24"/>
          <w:szCs w:val="24"/>
        </w:rPr>
        <w:t>criticised with varying degrees of severity; from the</w:t>
      </w:r>
      <w:r w:rsidR="00FC5CBA" w:rsidRPr="0043224D">
        <w:rPr>
          <w:rFonts w:ascii="Times New Roman" w:hAnsi="Times New Roman" w:cs="Times New Roman"/>
          <w:sz w:val="24"/>
          <w:szCs w:val="24"/>
        </w:rPr>
        <w:t xml:space="preserve"> relatively</w:t>
      </w:r>
      <w:r w:rsidR="00273105" w:rsidRPr="0043224D">
        <w:rPr>
          <w:rFonts w:ascii="Times New Roman" w:hAnsi="Times New Roman" w:cs="Times New Roman"/>
          <w:sz w:val="24"/>
          <w:szCs w:val="24"/>
        </w:rPr>
        <w:t xml:space="preserve"> mild </w:t>
      </w:r>
      <w:r w:rsidR="00FC2204" w:rsidRPr="0043224D">
        <w:rPr>
          <w:rFonts w:ascii="Times New Roman" w:hAnsi="Times New Roman" w:cs="Times New Roman"/>
          <w:sz w:val="24"/>
          <w:szCs w:val="24"/>
        </w:rPr>
        <w:t xml:space="preserve">but no doubt probable </w:t>
      </w:r>
      <w:r w:rsidR="00273105" w:rsidRPr="0043224D">
        <w:rPr>
          <w:rFonts w:ascii="Times New Roman" w:hAnsi="Times New Roman" w:cs="Times New Roman"/>
          <w:sz w:val="24"/>
          <w:szCs w:val="24"/>
        </w:rPr>
        <w:t>assertion</w:t>
      </w:r>
      <w:r w:rsidR="00FC2204" w:rsidRPr="0043224D">
        <w:rPr>
          <w:rFonts w:ascii="Times New Roman" w:hAnsi="Times New Roman" w:cs="Times New Roman"/>
          <w:sz w:val="24"/>
          <w:szCs w:val="24"/>
        </w:rPr>
        <w:t xml:space="preserve"> </w:t>
      </w:r>
      <w:r w:rsidR="00273105" w:rsidRPr="0043224D">
        <w:rPr>
          <w:rFonts w:ascii="Times New Roman" w:hAnsi="Times New Roman" w:cs="Times New Roman"/>
          <w:sz w:val="24"/>
          <w:szCs w:val="24"/>
        </w:rPr>
        <w:t>that it is “fragile” and “vulnerable” as an instrument of law,</w:t>
      </w:r>
      <w:r w:rsidR="00273105" w:rsidRPr="0043224D">
        <w:rPr>
          <w:rStyle w:val="FootnoteReference"/>
          <w:rFonts w:ascii="Times New Roman" w:hAnsi="Times New Roman" w:cs="Times New Roman"/>
          <w:sz w:val="24"/>
          <w:szCs w:val="24"/>
        </w:rPr>
        <w:footnoteReference w:id="192"/>
      </w:r>
      <w:r w:rsidR="00273105" w:rsidRPr="0043224D">
        <w:rPr>
          <w:rFonts w:ascii="Times New Roman" w:hAnsi="Times New Roman" w:cs="Times New Roman"/>
          <w:sz w:val="24"/>
          <w:szCs w:val="24"/>
        </w:rPr>
        <w:t xml:space="preserve"> to</w:t>
      </w:r>
      <w:r w:rsidR="00FC2204" w:rsidRPr="0043224D">
        <w:rPr>
          <w:rFonts w:ascii="Times New Roman" w:hAnsi="Times New Roman" w:cs="Times New Roman"/>
          <w:sz w:val="24"/>
          <w:szCs w:val="24"/>
        </w:rPr>
        <w:t xml:space="preserve"> outright disapproval from others,  with the less probable </w:t>
      </w:r>
      <w:r w:rsidR="00273105" w:rsidRPr="0043224D">
        <w:rPr>
          <w:rFonts w:ascii="Times New Roman" w:hAnsi="Times New Roman" w:cs="Times New Roman"/>
          <w:sz w:val="24"/>
          <w:szCs w:val="24"/>
        </w:rPr>
        <w:t>claim that it, “facilitates [from the state] the ongoing domestication of violence”</w:t>
      </w:r>
      <w:r w:rsidR="00FC2204" w:rsidRPr="0043224D">
        <w:rPr>
          <w:rFonts w:ascii="Times New Roman" w:hAnsi="Times New Roman" w:cs="Times New Roman"/>
          <w:sz w:val="24"/>
          <w:szCs w:val="24"/>
        </w:rPr>
        <w:t xml:space="preserve"> towards indigenous peoples</w:t>
      </w:r>
      <w:r w:rsidR="00273105" w:rsidRPr="0043224D">
        <w:rPr>
          <w:rFonts w:ascii="Times New Roman" w:hAnsi="Times New Roman" w:cs="Times New Roman"/>
          <w:sz w:val="24"/>
          <w:szCs w:val="24"/>
        </w:rPr>
        <w:t>.</w:t>
      </w:r>
      <w:r w:rsidR="00273105" w:rsidRPr="0043224D">
        <w:rPr>
          <w:rStyle w:val="FootnoteReference"/>
          <w:rFonts w:ascii="Times New Roman" w:hAnsi="Times New Roman" w:cs="Times New Roman"/>
          <w:sz w:val="24"/>
          <w:szCs w:val="24"/>
        </w:rPr>
        <w:footnoteReference w:id="193"/>
      </w:r>
      <w:r w:rsidR="00FC2204" w:rsidRPr="0043224D">
        <w:rPr>
          <w:rFonts w:ascii="Times New Roman" w:hAnsi="Times New Roman" w:cs="Times New Roman"/>
          <w:sz w:val="24"/>
          <w:szCs w:val="24"/>
        </w:rPr>
        <w:t xml:space="preserve"> </w:t>
      </w:r>
    </w:p>
    <w:p w:rsidR="00B80D1E" w:rsidRPr="0043224D" w:rsidRDefault="00941E7F" w:rsidP="00060EEC">
      <w:pPr>
        <w:spacing w:line="360" w:lineRule="auto"/>
        <w:ind w:firstLine="720"/>
        <w:rPr>
          <w:rFonts w:ascii="Times New Roman" w:hAnsi="Times New Roman" w:cs="Times New Roman"/>
          <w:color w:val="000000"/>
          <w:sz w:val="24"/>
          <w:szCs w:val="24"/>
        </w:rPr>
      </w:pPr>
      <w:r w:rsidRPr="0043224D">
        <w:rPr>
          <w:rFonts w:ascii="Times New Roman" w:hAnsi="Times New Roman" w:cs="Times New Roman"/>
          <w:sz w:val="24"/>
          <w:szCs w:val="24"/>
        </w:rPr>
        <w:t>A</w:t>
      </w:r>
      <w:r w:rsidR="007E181C" w:rsidRPr="0043224D">
        <w:rPr>
          <w:rFonts w:ascii="Times New Roman" w:hAnsi="Times New Roman" w:cs="Times New Roman"/>
          <w:sz w:val="24"/>
          <w:szCs w:val="24"/>
        </w:rPr>
        <w:t>dditionally,</w:t>
      </w:r>
      <w:r w:rsidR="00B8635A" w:rsidRPr="0043224D">
        <w:rPr>
          <w:rFonts w:ascii="Times New Roman" w:hAnsi="Times New Roman" w:cs="Times New Roman"/>
          <w:sz w:val="24"/>
          <w:szCs w:val="24"/>
        </w:rPr>
        <w:t xml:space="preserve"> </w:t>
      </w:r>
      <w:r w:rsidR="00F871D9" w:rsidRPr="0043224D">
        <w:rPr>
          <w:rFonts w:ascii="Times New Roman" w:hAnsi="Times New Roman" w:cs="Times New Roman"/>
          <w:sz w:val="24"/>
          <w:szCs w:val="24"/>
        </w:rPr>
        <w:t xml:space="preserve">although </w:t>
      </w:r>
      <w:r w:rsidR="00B8635A" w:rsidRPr="0043224D">
        <w:rPr>
          <w:rFonts w:ascii="Times New Roman" w:hAnsi="Times New Roman" w:cs="Times New Roman"/>
          <w:sz w:val="24"/>
          <w:szCs w:val="24"/>
        </w:rPr>
        <w:t>as a declaration it is technically a set of recommendations</w:t>
      </w:r>
      <w:r w:rsidR="00504D26" w:rsidRPr="0043224D">
        <w:rPr>
          <w:rFonts w:ascii="Times New Roman" w:hAnsi="Times New Roman" w:cs="Times New Roman"/>
          <w:sz w:val="24"/>
          <w:szCs w:val="24"/>
        </w:rPr>
        <w:t>, it does however</w:t>
      </w:r>
      <w:r w:rsidR="00841FEA" w:rsidRPr="0043224D">
        <w:rPr>
          <w:rFonts w:ascii="Times New Roman" w:hAnsi="Times New Roman" w:cs="Times New Roman"/>
          <w:sz w:val="24"/>
          <w:szCs w:val="24"/>
        </w:rPr>
        <w:t>,</w:t>
      </w:r>
      <w:r w:rsidR="00504D26" w:rsidRPr="0043224D">
        <w:rPr>
          <w:rFonts w:ascii="Times New Roman" w:hAnsi="Times New Roman" w:cs="Times New Roman"/>
          <w:sz w:val="24"/>
          <w:szCs w:val="24"/>
        </w:rPr>
        <w:t xml:space="preserve"> as an international </w:t>
      </w:r>
      <w:r w:rsidR="00841FEA" w:rsidRPr="0043224D">
        <w:rPr>
          <w:rFonts w:ascii="Times New Roman" w:hAnsi="Times New Roman" w:cs="Times New Roman"/>
          <w:sz w:val="24"/>
          <w:szCs w:val="24"/>
        </w:rPr>
        <w:t>document,</w:t>
      </w:r>
      <w:r w:rsidR="00B8635A" w:rsidRPr="0043224D">
        <w:rPr>
          <w:rFonts w:ascii="Times New Roman" w:hAnsi="Times New Roman" w:cs="Times New Roman"/>
          <w:sz w:val="24"/>
          <w:szCs w:val="24"/>
        </w:rPr>
        <w:t xml:space="preserve"> </w:t>
      </w:r>
      <w:r w:rsidR="00504D26" w:rsidRPr="0043224D">
        <w:rPr>
          <w:rFonts w:ascii="Times New Roman" w:hAnsi="Times New Roman" w:cs="Times New Roman"/>
          <w:sz w:val="24"/>
          <w:szCs w:val="24"/>
        </w:rPr>
        <w:t>convey</w:t>
      </w:r>
      <w:r w:rsidR="00841FEA" w:rsidRPr="0043224D">
        <w:rPr>
          <w:rFonts w:ascii="Times New Roman" w:hAnsi="Times New Roman" w:cs="Times New Roman"/>
          <w:sz w:val="24"/>
          <w:szCs w:val="24"/>
        </w:rPr>
        <w:t xml:space="preserve"> both</w:t>
      </w:r>
      <w:r w:rsidR="00B8635A" w:rsidRPr="0043224D">
        <w:rPr>
          <w:rFonts w:ascii="Times New Roman" w:hAnsi="Times New Roman" w:cs="Times New Roman"/>
          <w:sz w:val="24"/>
          <w:szCs w:val="24"/>
        </w:rPr>
        <w:t xml:space="preserve"> moral authority</w:t>
      </w:r>
      <w:r w:rsidR="00504D26" w:rsidRPr="0043224D">
        <w:rPr>
          <w:rFonts w:ascii="Times New Roman" w:hAnsi="Times New Roman" w:cs="Times New Roman"/>
          <w:sz w:val="24"/>
          <w:szCs w:val="24"/>
        </w:rPr>
        <w:t xml:space="preserve"> and legal significance. </w:t>
      </w:r>
      <w:r w:rsidR="00841FEA" w:rsidRPr="0043224D">
        <w:rPr>
          <w:rFonts w:ascii="Times New Roman" w:hAnsi="Times New Roman" w:cs="Times New Roman"/>
          <w:sz w:val="24"/>
          <w:szCs w:val="24"/>
        </w:rPr>
        <w:t xml:space="preserve">Therefore as a progressive human rights instrument it is probably best seen as a strategic tool that gives legal and political leverage to those fighting for more recognition </w:t>
      </w:r>
      <w:r w:rsidR="00BA28B2" w:rsidRPr="0043224D">
        <w:rPr>
          <w:rFonts w:ascii="Times New Roman" w:hAnsi="Times New Roman" w:cs="Times New Roman"/>
          <w:sz w:val="24"/>
          <w:szCs w:val="24"/>
        </w:rPr>
        <w:t xml:space="preserve">of </w:t>
      </w:r>
      <w:r w:rsidR="00841FEA" w:rsidRPr="0043224D">
        <w:rPr>
          <w:rFonts w:ascii="Times New Roman" w:hAnsi="Times New Roman" w:cs="Times New Roman"/>
          <w:sz w:val="24"/>
          <w:szCs w:val="24"/>
        </w:rPr>
        <w:t xml:space="preserve">indigenous rights both globally and nationally, </w:t>
      </w:r>
      <w:r w:rsidR="00BA28B2" w:rsidRPr="0043224D">
        <w:rPr>
          <w:rFonts w:ascii="Times New Roman" w:hAnsi="Times New Roman" w:cs="Times New Roman"/>
          <w:sz w:val="24"/>
          <w:szCs w:val="24"/>
        </w:rPr>
        <w:t xml:space="preserve">and </w:t>
      </w:r>
      <w:r w:rsidR="00841FEA" w:rsidRPr="0043224D">
        <w:rPr>
          <w:rFonts w:ascii="Times New Roman" w:hAnsi="Times New Roman" w:cs="Times New Roman"/>
          <w:sz w:val="24"/>
          <w:szCs w:val="24"/>
        </w:rPr>
        <w:t>one that</w:t>
      </w:r>
      <w:r w:rsidR="0025177A" w:rsidRPr="0043224D">
        <w:rPr>
          <w:rFonts w:ascii="Times New Roman" w:hAnsi="Times New Roman" w:cs="Times New Roman"/>
          <w:sz w:val="24"/>
          <w:szCs w:val="24"/>
        </w:rPr>
        <w:t xml:space="preserve"> also</w:t>
      </w:r>
      <w:r w:rsidR="00E07195" w:rsidRPr="0043224D">
        <w:rPr>
          <w:rFonts w:ascii="Times New Roman" w:hAnsi="Times New Roman" w:cs="Times New Roman"/>
          <w:sz w:val="24"/>
          <w:szCs w:val="24"/>
        </w:rPr>
        <w:t>,</w:t>
      </w:r>
      <w:r w:rsidR="00841FEA" w:rsidRPr="0043224D">
        <w:rPr>
          <w:rFonts w:ascii="Times New Roman" w:hAnsi="Times New Roman" w:cs="Times New Roman"/>
          <w:sz w:val="24"/>
          <w:szCs w:val="24"/>
        </w:rPr>
        <w:t xml:space="preserve"> in time</w:t>
      </w:r>
      <w:r w:rsidR="00E07195" w:rsidRPr="0043224D">
        <w:rPr>
          <w:rFonts w:ascii="Times New Roman" w:hAnsi="Times New Roman" w:cs="Times New Roman"/>
          <w:sz w:val="24"/>
          <w:szCs w:val="24"/>
        </w:rPr>
        <w:t>,</w:t>
      </w:r>
      <w:r w:rsidR="00841FEA" w:rsidRPr="0043224D">
        <w:rPr>
          <w:rFonts w:ascii="Times New Roman" w:hAnsi="Times New Roman" w:cs="Times New Roman"/>
          <w:sz w:val="24"/>
          <w:szCs w:val="24"/>
        </w:rPr>
        <w:t xml:space="preserve"> may add to a body of binding norms in international</w:t>
      </w:r>
      <w:r w:rsidR="00E07195" w:rsidRPr="0043224D">
        <w:rPr>
          <w:rFonts w:ascii="Times New Roman" w:hAnsi="Times New Roman" w:cs="Times New Roman"/>
          <w:sz w:val="24"/>
          <w:szCs w:val="24"/>
        </w:rPr>
        <w:t xml:space="preserve"> customary</w:t>
      </w:r>
      <w:r w:rsidR="00841FEA" w:rsidRPr="0043224D">
        <w:rPr>
          <w:rFonts w:ascii="Times New Roman" w:hAnsi="Times New Roman" w:cs="Times New Roman"/>
          <w:sz w:val="24"/>
          <w:szCs w:val="24"/>
        </w:rPr>
        <w:t xml:space="preserve"> law concerning the issues mos</w:t>
      </w:r>
      <w:r w:rsidR="00BA28B2" w:rsidRPr="0043224D">
        <w:rPr>
          <w:rFonts w:ascii="Times New Roman" w:hAnsi="Times New Roman" w:cs="Times New Roman"/>
          <w:sz w:val="24"/>
          <w:szCs w:val="24"/>
        </w:rPr>
        <w:t>t affecting indigenous peoples</w:t>
      </w:r>
      <w:r w:rsidR="00841FEA" w:rsidRPr="0043224D">
        <w:rPr>
          <w:rFonts w:ascii="Times New Roman" w:hAnsi="Times New Roman" w:cs="Times New Roman"/>
          <w:sz w:val="24"/>
          <w:szCs w:val="24"/>
        </w:rPr>
        <w:t>.</w:t>
      </w:r>
      <w:r w:rsidR="00E07195" w:rsidRPr="0043224D">
        <w:rPr>
          <w:rStyle w:val="FootnoteReference"/>
          <w:rFonts w:ascii="Times New Roman" w:hAnsi="Times New Roman" w:cs="Times New Roman"/>
          <w:sz w:val="24"/>
          <w:szCs w:val="24"/>
        </w:rPr>
        <w:footnoteReference w:id="194"/>
      </w:r>
      <w:r w:rsidR="00840915" w:rsidRPr="0043224D">
        <w:rPr>
          <w:rFonts w:ascii="Times New Roman" w:hAnsi="Times New Roman" w:cs="Times New Roman"/>
          <w:sz w:val="24"/>
          <w:szCs w:val="24"/>
        </w:rPr>
        <w:t xml:space="preserve"> </w:t>
      </w:r>
      <w:r w:rsidR="00E07195" w:rsidRPr="0043224D">
        <w:rPr>
          <w:rFonts w:ascii="Times New Roman" w:hAnsi="Times New Roman" w:cs="Times New Roman"/>
          <w:sz w:val="24"/>
          <w:szCs w:val="24"/>
        </w:rPr>
        <w:t xml:space="preserve"> </w:t>
      </w:r>
      <w:r w:rsidR="004530EE" w:rsidRPr="0043224D">
        <w:rPr>
          <w:rFonts w:ascii="Times New Roman" w:hAnsi="Times New Roman" w:cs="Times New Roman"/>
          <w:sz w:val="24"/>
          <w:szCs w:val="24"/>
        </w:rPr>
        <w:t xml:space="preserve">In this vein, as a set of enumerated international standards, </w:t>
      </w:r>
      <w:r w:rsidR="004530EE" w:rsidRPr="0043224D">
        <w:rPr>
          <w:rFonts w:ascii="Times New Roman" w:hAnsi="Times New Roman" w:cs="Times New Roman"/>
          <w:color w:val="000000"/>
          <w:sz w:val="24"/>
          <w:szCs w:val="24"/>
        </w:rPr>
        <w:t xml:space="preserve">the Declaration may also, in time, mobilise and inspire national legislatures </w:t>
      </w:r>
      <w:r w:rsidR="00080F90" w:rsidRPr="0043224D">
        <w:rPr>
          <w:rFonts w:ascii="Times New Roman" w:hAnsi="Times New Roman" w:cs="Times New Roman"/>
          <w:color w:val="000000"/>
          <w:sz w:val="24"/>
          <w:szCs w:val="24"/>
        </w:rPr>
        <w:t xml:space="preserve">to incorporate its norms into domestic law in much the same way that, for example, ILO 169 and the Inter-American Convention of Human Rights </w:t>
      </w:r>
      <w:r w:rsidR="00B80D1E" w:rsidRPr="0043224D">
        <w:rPr>
          <w:rFonts w:ascii="Times New Roman" w:hAnsi="Times New Roman" w:cs="Times New Roman"/>
          <w:color w:val="000000"/>
          <w:sz w:val="24"/>
          <w:szCs w:val="24"/>
        </w:rPr>
        <w:t xml:space="preserve">has already done. Indeed in international jurisprudence, in </w:t>
      </w:r>
      <w:r w:rsidR="00B80D1E" w:rsidRPr="0043224D">
        <w:rPr>
          <w:rFonts w:ascii="Times New Roman" w:hAnsi="Times New Roman" w:cs="Times New Roman"/>
          <w:i/>
          <w:color w:val="000000"/>
          <w:sz w:val="24"/>
          <w:szCs w:val="24"/>
        </w:rPr>
        <w:t xml:space="preserve">the </w:t>
      </w:r>
      <w:r w:rsidR="00B80D1E" w:rsidRPr="0043224D">
        <w:rPr>
          <w:rFonts w:ascii="Times New Roman" w:hAnsi="Times New Roman" w:cs="Times New Roman"/>
          <w:i/>
          <w:sz w:val="24"/>
          <w:szCs w:val="24"/>
        </w:rPr>
        <w:t>Case</w:t>
      </w:r>
      <w:r w:rsidR="00B80D1E" w:rsidRPr="0043224D">
        <w:rPr>
          <w:rFonts w:ascii="Times New Roman" w:hAnsi="Times New Roman" w:cs="Times New Roman"/>
          <w:i/>
          <w:color w:val="000000"/>
          <w:sz w:val="24"/>
          <w:szCs w:val="24"/>
        </w:rPr>
        <w:t xml:space="preserve"> of the</w:t>
      </w:r>
      <w:r w:rsidR="00B80D1E" w:rsidRPr="0043224D">
        <w:rPr>
          <w:rFonts w:ascii="Times New Roman" w:hAnsi="Times New Roman" w:cs="Times New Roman"/>
          <w:color w:val="000000"/>
          <w:sz w:val="24"/>
          <w:szCs w:val="24"/>
        </w:rPr>
        <w:t xml:space="preserve"> </w:t>
      </w:r>
      <w:r w:rsidR="00B80D1E" w:rsidRPr="0043224D">
        <w:rPr>
          <w:rFonts w:ascii="Times New Roman" w:hAnsi="Times New Roman" w:cs="Times New Roman"/>
          <w:i/>
          <w:color w:val="000000"/>
          <w:sz w:val="24"/>
          <w:szCs w:val="24"/>
        </w:rPr>
        <w:t xml:space="preserve">Saramaka People v Suriname </w:t>
      </w:r>
      <w:r w:rsidR="00B80D1E" w:rsidRPr="0043224D">
        <w:rPr>
          <w:rFonts w:ascii="Times New Roman" w:hAnsi="Times New Roman" w:cs="Times New Roman"/>
          <w:color w:val="000000"/>
          <w:sz w:val="24"/>
          <w:szCs w:val="24"/>
        </w:rPr>
        <w:t xml:space="preserve">the IACHR has referenced </w:t>
      </w:r>
      <w:r w:rsidR="00BB7AF0" w:rsidRPr="0043224D">
        <w:rPr>
          <w:rFonts w:ascii="Times New Roman" w:hAnsi="Times New Roman" w:cs="Times New Roman"/>
          <w:color w:val="000000"/>
          <w:sz w:val="24"/>
          <w:szCs w:val="24"/>
        </w:rPr>
        <w:t xml:space="preserve">the </w:t>
      </w:r>
      <w:r w:rsidR="00B80D1E" w:rsidRPr="0043224D">
        <w:rPr>
          <w:rFonts w:ascii="Times New Roman" w:hAnsi="Times New Roman" w:cs="Times New Roman"/>
          <w:color w:val="000000"/>
          <w:sz w:val="24"/>
          <w:szCs w:val="24"/>
        </w:rPr>
        <w:t>Declaration in relation article 32,</w:t>
      </w:r>
      <w:r w:rsidR="00B80D1E" w:rsidRPr="0043224D">
        <w:rPr>
          <w:rStyle w:val="FootnoteReference"/>
          <w:rFonts w:ascii="Times New Roman" w:hAnsi="Times New Roman" w:cs="Times New Roman"/>
          <w:color w:val="000000"/>
          <w:sz w:val="24"/>
          <w:szCs w:val="24"/>
        </w:rPr>
        <w:footnoteReference w:id="195"/>
      </w:r>
      <w:r w:rsidR="00B80D1E" w:rsidRPr="0043224D">
        <w:rPr>
          <w:rFonts w:ascii="Times New Roman" w:hAnsi="Times New Roman" w:cs="Times New Roman"/>
          <w:color w:val="000000"/>
          <w:sz w:val="24"/>
          <w:szCs w:val="24"/>
        </w:rPr>
        <w:t xml:space="preserve"> </w:t>
      </w:r>
      <w:r w:rsidR="00B80D1E" w:rsidRPr="0043224D">
        <w:rPr>
          <w:rFonts w:ascii="Times New Roman" w:hAnsi="Times New Roman" w:cs="Times New Roman"/>
          <w:i/>
          <w:color w:val="000000"/>
          <w:sz w:val="24"/>
          <w:szCs w:val="24"/>
        </w:rPr>
        <w:t xml:space="preserve"> </w:t>
      </w:r>
      <w:r w:rsidR="00B80D1E" w:rsidRPr="0043224D">
        <w:rPr>
          <w:rFonts w:ascii="Times New Roman" w:hAnsi="Times New Roman" w:cs="Times New Roman"/>
          <w:color w:val="000000"/>
          <w:sz w:val="24"/>
          <w:szCs w:val="24"/>
        </w:rPr>
        <w:t xml:space="preserve">adding further weight </w:t>
      </w:r>
      <w:r w:rsidR="00CA3139" w:rsidRPr="0043224D">
        <w:rPr>
          <w:rFonts w:ascii="Times New Roman" w:hAnsi="Times New Roman" w:cs="Times New Roman"/>
          <w:color w:val="000000"/>
          <w:sz w:val="24"/>
          <w:szCs w:val="24"/>
        </w:rPr>
        <w:t>to its status as perhaps something more substantial than merely “soft law”.</w:t>
      </w:r>
    </w:p>
    <w:p w:rsidR="001E3DD6" w:rsidRPr="00ED6F51" w:rsidRDefault="00ED6F51" w:rsidP="0043224D">
      <w:pPr>
        <w:pStyle w:val="Heading3"/>
        <w:spacing w:line="360" w:lineRule="auto"/>
      </w:pPr>
      <w:bookmarkStart w:id="35" w:name="_Toc399848367"/>
      <w:r w:rsidRPr="00ED6F51">
        <w:t>5.3.1 Lands, Territories and Resources</w:t>
      </w:r>
      <w:bookmarkEnd w:id="35"/>
      <w:r w:rsidRPr="00ED6F51">
        <w:t xml:space="preserve"> </w:t>
      </w:r>
    </w:p>
    <w:p w:rsidR="00C85EA7" w:rsidRPr="0043224D" w:rsidRDefault="00AD44E3" w:rsidP="00060EEC">
      <w:pPr>
        <w:pStyle w:val="ListBullet"/>
        <w:numPr>
          <w:ilvl w:val="0"/>
          <w:numId w:val="0"/>
        </w:numPr>
        <w:spacing w:line="360" w:lineRule="auto"/>
        <w:ind w:firstLine="720"/>
        <w:rPr>
          <w:rFonts w:ascii="Times New Roman" w:hAnsi="Times New Roman"/>
          <w:sz w:val="24"/>
          <w:szCs w:val="24"/>
        </w:rPr>
      </w:pPr>
      <w:r w:rsidRPr="0043224D">
        <w:rPr>
          <w:rFonts w:ascii="Times New Roman" w:hAnsi="Times New Roman"/>
          <w:sz w:val="24"/>
          <w:szCs w:val="24"/>
        </w:rPr>
        <w:t xml:space="preserve">In regard to the rights of lands, territories and resources, the Declaration provides recognition to indigenous peoples in articles 25 where the </w:t>
      </w:r>
      <w:r w:rsidR="001E3DD6" w:rsidRPr="0043224D">
        <w:rPr>
          <w:rFonts w:ascii="Times New Roman" w:hAnsi="Times New Roman"/>
          <w:sz w:val="24"/>
          <w:szCs w:val="24"/>
        </w:rPr>
        <w:t xml:space="preserve">deep connection to land is expressed as the, “right to strengthen their distinctive spiritual relations with lands and resources” and in </w:t>
      </w:r>
      <w:r w:rsidR="00112183" w:rsidRPr="0043224D">
        <w:rPr>
          <w:rFonts w:ascii="Times New Roman" w:hAnsi="Times New Roman"/>
          <w:sz w:val="24"/>
          <w:szCs w:val="24"/>
        </w:rPr>
        <w:t>a</w:t>
      </w:r>
      <w:r w:rsidR="001E3DD6" w:rsidRPr="0043224D">
        <w:rPr>
          <w:rFonts w:ascii="Times New Roman" w:hAnsi="Times New Roman"/>
          <w:sz w:val="24"/>
          <w:szCs w:val="24"/>
        </w:rPr>
        <w:t>rticle 26</w:t>
      </w:r>
      <w:r w:rsidR="00C85EA7" w:rsidRPr="0043224D">
        <w:rPr>
          <w:rFonts w:ascii="Times New Roman" w:hAnsi="Times New Roman"/>
          <w:sz w:val="24"/>
          <w:szCs w:val="24"/>
        </w:rPr>
        <w:t xml:space="preserve"> (1)</w:t>
      </w:r>
      <w:r w:rsidR="001E3DD6" w:rsidRPr="0043224D">
        <w:rPr>
          <w:rFonts w:ascii="Times New Roman" w:hAnsi="Times New Roman"/>
          <w:sz w:val="24"/>
          <w:szCs w:val="24"/>
        </w:rPr>
        <w:t xml:space="preserve"> where customary rights are invoked as the, “right to own, use, develop and control the lands, territories and resources that indigenous peoples possess by reason of traditional ownership”. </w:t>
      </w:r>
      <w:r w:rsidR="001E3DD6" w:rsidRPr="0043224D">
        <w:rPr>
          <w:rStyle w:val="FootnoteReference"/>
          <w:rFonts w:ascii="Times New Roman" w:hAnsi="Times New Roman"/>
          <w:sz w:val="24"/>
          <w:szCs w:val="24"/>
        </w:rPr>
        <w:footnoteReference w:id="196"/>
      </w:r>
      <w:r w:rsidR="0085519A" w:rsidRPr="0043224D">
        <w:rPr>
          <w:rFonts w:ascii="Times New Roman" w:hAnsi="Times New Roman"/>
          <w:sz w:val="24"/>
          <w:szCs w:val="24"/>
        </w:rPr>
        <w:t xml:space="preserve"> </w:t>
      </w:r>
    </w:p>
    <w:p w:rsidR="002E3CB8" w:rsidRPr="0043224D" w:rsidRDefault="00F871D9" w:rsidP="0043224D">
      <w:pPr>
        <w:spacing w:line="360" w:lineRule="auto"/>
        <w:rPr>
          <w:rFonts w:ascii="Times New Roman" w:hAnsi="Times New Roman" w:cs="Times New Roman"/>
          <w:sz w:val="24"/>
          <w:szCs w:val="24"/>
        </w:rPr>
      </w:pPr>
      <w:r w:rsidRPr="0043224D">
        <w:rPr>
          <w:rFonts w:ascii="Times New Roman" w:hAnsi="Times New Roman" w:cs="Times New Roman"/>
          <w:sz w:val="24"/>
          <w:szCs w:val="24"/>
        </w:rPr>
        <w:t>The</w:t>
      </w:r>
      <w:r w:rsidR="00840915" w:rsidRPr="0043224D">
        <w:rPr>
          <w:rFonts w:ascii="Times New Roman" w:hAnsi="Times New Roman" w:cs="Times New Roman"/>
          <w:sz w:val="24"/>
          <w:szCs w:val="24"/>
        </w:rPr>
        <w:t xml:space="preserve"> </w:t>
      </w:r>
      <w:r w:rsidR="00F3139D" w:rsidRPr="0043224D">
        <w:rPr>
          <w:rFonts w:ascii="Times New Roman" w:hAnsi="Times New Roman" w:cs="Times New Roman"/>
          <w:sz w:val="24"/>
          <w:szCs w:val="24"/>
        </w:rPr>
        <w:t xml:space="preserve">substantive </w:t>
      </w:r>
      <w:r w:rsidR="00840915" w:rsidRPr="0043224D">
        <w:rPr>
          <w:rFonts w:ascii="Times New Roman" w:hAnsi="Times New Roman" w:cs="Times New Roman"/>
          <w:sz w:val="24"/>
          <w:szCs w:val="24"/>
        </w:rPr>
        <w:t>articles</w:t>
      </w:r>
      <w:r w:rsidR="00AD44E3" w:rsidRPr="0043224D">
        <w:rPr>
          <w:rFonts w:ascii="Times New Roman" w:hAnsi="Times New Roman" w:cs="Times New Roman"/>
          <w:sz w:val="24"/>
          <w:szCs w:val="24"/>
        </w:rPr>
        <w:t xml:space="preserve"> however</w:t>
      </w:r>
      <w:r w:rsidR="00840915" w:rsidRPr="0043224D">
        <w:rPr>
          <w:rFonts w:ascii="Times New Roman" w:hAnsi="Times New Roman" w:cs="Times New Roman"/>
          <w:sz w:val="24"/>
          <w:szCs w:val="24"/>
        </w:rPr>
        <w:t xml:space="preserve"> which are of essential interest to the development-induced displacement pro</w:t>
      </w:r>
      <w:r w:rsidR="001E3DD6" w:rsidRPr="0043224D">
        <w:rPr>
          <w:rFonts w:ascii="Times New Roman" w:hAnsi="Times New Roman" w:cs="Times New Roman"/>
          <w:sz w:val="24"/>
          <w:szCs w:val="24"/>
        </w:rPr>
        <w:t>cess</w:t>
      </w:r>
      <w:r w:rsidR="0011577C" w:rsidRPr="0043224D">
        <w:rPr>
          <w:rFonts w:ascii="Times New Roman" w:hAnsi="Times New Roman" w:cs="Times New Roman"/>
          <w:sz w:val="24"/>
          <w:szCs w:val="24"/>
        </w:rPr>
        <w:t xml:space="preserve"> are Articles 8 and 10</w:t>
      </w:r>
      <w:r w:rsidR="00FC7855" w:rsidRPr="0043224D">
        <w:rPr>
          <w:rFonts w:ascii="Times New Roman" w:hAnsi="Times New Roman" w:cs="Times New Roman"/>
          <w:sz w:val="24"/>
          <w:szCs w:val="24"/>
        </w:rPr>
        <w:t xml:space="preserve"> of the Declaration</w:t>
      </w:r>
      <w:r w:rsidR="0011577C" w:rsidRPr="0043224D">
        <w:rPr>
          <w:rFonts w:ascii="Times New Roman" w:hAnsi="Times New Roman" w:cs="Times New Roman"/>
          <w:sz w:val="24"/>
          <w:szCs w:val="24"/>
        </w:rPr>
        <w:t>.</w:t>
      </w:r>
      <w:r w:rsidR="00840915" w:rsidRPr="0043224D">
        <w:rPr>
          <w:rFonts w:ascii="Times New Roman" w:hAnsi="Times New Roman" w:cs="Times New Roman"/>
          <w:sz w:val="24"/>
          <w:szCs w:val="24"/>
        </w:rPr>
        <w:t xml:space="preserve"> Article 8 </w:t>
      </w:r>
      <w:r w:rsidR="0011577C" w:rsidRPr="0043224D">
        <w:rPr>
          <w:rFonts w:ascii="Times New Roman" w:hAnsi="Times New Roman" w:cs="Times New Roman"/>
          <w:sz w:val="24"/>
          <w:szCs w:val="24"/>
        </w:rPr>
        <w:t>(</w:t>
      </w:r>
      <w:r w:rsidR="00840915" w:rsidRPr="0043224D">
        <w:rPr>
          <w:rFonts w:ascii="Times New Roman" w:hAnsi="Times New Roman" w:cs="Times New Roman"/>
          <w:sz w:val="24"/>
          <w:szCs w:val="24"/>
        </w:rPr>
        <w:t>2</w:t>
      </w:r>
      <w:r w:rsidR="0011577C" w:rsidRPr="0043224D">
        <w:rPr>
          <w:rFonts w:ascii="Times New Roman" w:hAnsi="Times New Roman" w:cs="Times New Roman"/>
          <w:sz w:val="24"/>
          <w:szCs w:val="24"/>
        </w:rPr>
        <w:t>)</w:t>
      </w:r>
      <w:r w:rsidR="000309B1" w:rsidRPr="0043224D">
        <w:rPr>
          <w:rFonts w:ascii="Times New Roman" w:hAnsi="Times New Roman" w:cs="Times New Roman"/>
          <w:sz w:val="24"/>
          <w:szCs w:val="24"/>
        </w:rPr>
        <w:t xml:space="preserve"> </w:t>
      </w:r>
      <w:r w:rsidR="009E17AF" w:rsidRPr="0043224D">
        <w:rPr>
          <w:rFonts w:ascii="Times New Roman" w:hAnsi="Times New Roman" w:cs="Times New Roman"/>
          <w:sz w:val="24"/>
          <w:szCs w:val="24"/>
        </w:rPr>
        <w:t>imposes a positive duty</w:t>
      </w:r>
      <w:r w:rsidR="00840915" w:rsidRPr="0043224D">
        <w:rPr>
          <w:rFonts w:ascii="Times New Roman" w:hAnsi="Times New Roman" w:cs="Times New Roman"/>
          <w:sz w:val="24"/>
          <w:szCs w:val="24"/>
        </w:rPr>
        <w:t xml:space="preserve">: </w:t>
      </w:r>
    </w:p>
    <w:p w:rsidR="00943C42" w:rsidRPr="0043224D" w:rsidRDefault="002E3CB8" w:rsidP="0043224D">
      <w:pPr>
        <w:spacing w:line="360" w:lineRule="auto"/>
        <w:ind w:left="720"/>
        <w:rPr>
          <w:rFonts w:ascii="Times New Roman" w:hAnsi="Times New Roman" w:cs="Times New Roman"/>
          <w:sz w:val="24"/>
          <w:szCs w:val="24"/>
        </w:rPr>
      </w:pPr>
      <w:r w:rsidRPr="0043224D">
        <w:rPr>
          <w:rFonts w:ascii="Times New Roman" w:hAnsi="Times New Roman" w:cs="Times New Roman"/>
          <w:i/>
          <w:sz w:val="24"/>
          <w:szCs w:val="24"/>
        </w:rPr>
        <w:t xml:space="preserve">States shall provide effective mechanisms for prevention of, and redress for: </w:t>
      </w:r>
      <w:r w:rsidR="001F2EA2" w:rsidRPr="0043224D">
        <w:rPr>
          <w:rFonts w:ascii="Times New Roman" w:hAnsi="Times New Roman" w:cs="Times New Roman"/>
          <w:i/>
          <w:sz w:val="24"/>
          <w:szCs w:val="24"/>
        </w:rPr>
        <w:t xml:space="preserve">(a) Any action which has the aim or effect of depriving them of their integrity as distinct peoples, or of their cultural values or ethnic identities; (b) any action which has the aim or effect of dispossessing them of their </w:t>
      </w:r>
      <w:r w:rsidR="00943C42" w:rsidRPr="0043224D">
        <w:rPr>
          <w:rFonts w:ascii="Times New Roman" w:hAnsi="Times New Roman" w:cs="Times New Roman"/>
          <w:i/>
          <w:sz w:val="24"/>
          <w:szCs w:val="24"/>
        </w:rPr>
        <w:t>lands, territories or resources;</w:t>
      </w:r>
      <w:r w:rsidR="001F2EA2" w:rsidRPr="0043224D">
        <w:rPr>
          <w:rFonts w:ascii="Times New Roman" w:hAnsi="Times New Roman" w:cs="Times New Roman"/>
          <w:i/>
          <w:sz w:val="24"/>
          <w:szCs w:val="24"/>
        </w:rPr>
        <w:t xml:space="preserve"> (c) any form of forced population transfer which has the aim or effect of violating or undermining any of their rights</w:t>
      </w:r>
      <w:r w:rsidR="00943C42" w:rsidRPr="0043224D">
        <w:rPr>
          <w:rFonts w:ascii="Times New Roman" w:hAnsi="Times New Roman" w:cs="Times New Roman"/>
          <w:i/>
          <w:sz w:val="24"/>
          <w:szCs w:val="24"/>
        </w:rPr>
        <w:t>; (d) Any form of forced assimilation or integration; (e) Any form of propaganda designed to promote or incite racial or ethnic discrimination directed against them.</w:t>
      </w:r>
      <w:r w:rsidR="00943C42" w:rsidRPr="0043224D">
        <w:rPr>
          <w:rStyle w:val="FootnoteReference"/>
          <w:rFonts w:ascii="Times New Roman" w:hAnsi="Times New Roman" w:cs="Times New Roman"/>
          <w:i/>
          <w:sz w:val="24"/>
          <w:szCs w:val="24"/>
        </w:rPr>
        <w:t xml:space="preserve"> </w:t>
      </w:r>
      <w:r w:rsidR="00943C42" w:rsidRPr="0043224D">
        <w:rPr>
          <w:rStyle w:val="FootnoteReference"/>
          <w:rFonts w:ascii="Times New Roman" w:hAnsi="Times New Roman" w:cs="Times New Roman"/>
          <w:sz w:val="24"/>
          <w:szCs w:val="24"/>
        </w:rPr>
        <w:footnoteReference w:id="197"/>
      </w:r>
    </w:p>
    <w:p w:rsidR="0011577C" w:rsidRPr="0043224D" w:rsidRDefault="0011577C"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While Article 10 in its entirety </w:t>
      </w:r>
      <w:r w:rsidR="009E17AF" w:rsidRPr="0043224D">
        <w:rPr>
          <w:rFonts w:ascii="Times New Roman" w:hAnsi="Times New Roman" w:cs="Times New Roman"/>
          <w:sz w:val="24"/>
          <w:szCs w:val="24"/>
        </w:rPr>
        <w:t>imposes a negative duty on the state</w:t>
      </w:r>
      <w:r w:rsidRPr="0043224D">
        <w:rPr>
          <w:rFonts w:ascii="Times New Roman" w:hAnsi="Times New Roman" w:cs="Times New Roman"/>
          <w:sz w:val="24"/>
          <w:szCs w:val="24"/>
        </w:rPr>
        <w:t xml:space="preserve">: </w:t>
      </w:r>
    </w:p>
    <w:p w:rsidR="00A631ED" w:rsidRPr="0043224D" w:rsidRDefault="00A631ED" w:rsidP="0043224D">
      <w:pPr>
        <w:spacing w:line="360" w:lineRule="auto"/>
        <w:ind w:left="720"/>
        <w:rPr>
          <w:rFonts w:ascii="Times New Roman" w:hAnsi="Times New Roman" w:cs="Times New Roman"/>
          <w:sz w:val="24"/>
          <w:szCs w:val="24"/>
        </w:rPr>
      </w:pPr>
      <w:r w:rsidRPr="0043224D">
        <w:rPr>
          <w:rFonts w:ascii="Times New Roman" w:hAnsi="Times New Roman" w:cs="Times New Roman"/>
          <w:i/>
          <w:sz w:val="24"/>
          <w:szCs w:val="24"/>
        </w:rPr>
        <w:t>Indigenous peoples shall not be forcibly removed from their lands or territories. No relocation shall take place without the free, prior and informed consent of the indigenous peoples concerned and after agreement on just and fair compensation and, where possible, with the option of return</w:t>
      </w:r>
      <w:r w:rsidRPr="0043224D">
        <w:rPr>
          <w:rFonts w:ascii="Times New Roman" w:hAnsi="Times New Roman" w:cs="Times New Roman"/>
          <w:sz w:val="24"/>
          <w:szCs w:val="24"/>
        </w:rPr>
        <w:t>.</w:t>
      </w:r>
      <w:r w:rsidRPr="0043224D">
        <w:rPr>
          <w:rStyle w:val="FootnoteReference"/>
          <w:rFonts w:ascii="Times New Roman" w:hAnsi="Times New Roman" w:cs="Times New Roman"/>
          <w:sz w:val="24"/>
          <w:szCs w:val="24"/>
        </w:rPr>
        <w:footnoteReference w:id="198"/>
      </w:r>
    </w:p>
    <w:p w:rsidR="00941E7F" w:rsidRPr="0043224D" w:rsidRDefault="001F2EA2"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The</w:t>
      </w:r>
      <w:r w:rsidR="00615034" w:rsidRPr="0043224D">
        <w:rPr>
          <w:rFonts w:ascii="Times New Roman" w:hAnsi="Times New Roman" w:cs="Times New Roman"/>
          <w:sz w:val="24"/>
          <w:szCs w:val="24"/>
        </w:rPr>
        <w:t xml:space="preserve"> </w:t>
      </w:r>
      <w:r w:rsidR="00FC7855" w:rsidRPr="0043224D">
        <w:rPr>
          <w:rFonts w:ascii="Times New Roman" w:hAnsi="Times New Roman" w:cs="Times New Roman"/>
          <w:sz w:val="24"/>
          <w:szCs w:val="24"/>
        </w:rPr>
        <w:t xml:space="preserve">meaning, </w:t>
      </w:r>
      <w:r w:rsidRPr="0043224D">
        <w:rPr>
          <w:rFonts w:ascii="Times New Roman" w:hAnsi="Times New Roman" w:cs="Times New Roman"/>
          <w:sz w:val="24"/>
          <w:szCs w:val="24"/>
        </w:rPr>
        <w:t xml:space="preserve">content </w:t>
      </w:r>
      <w:r w:rsidR="00FC7855" w:rsidRPr="0043224D">
        <w:rPr>
          <w:rFonts w:ascii="Times New Roman" w:hAnsi="Times New Roman" w:cs="Times New Roman"/>
          <w:sz w:val="24"/>
          <w:szCs w:val="24"/>
        </w:rPr>
        <w:t xml:space="preserve">and normative thrust </w:t>
      </w:r>
      <w:r w:rsidRPr="0043224D">
        <w:rPr>
          <w:rFonts w:ascii="Times New Roman" w:hAnsi="Times New Roman" w:cs="Times New Roman"/>
          <w:sz w:val="24"/>
          <w:szCs w:val="24"/>
        </w:rPr>
        <w:t xml:space="preserve">of article </w:t>
      </w:r>
      <w:r w:rsidR="00C07A36" w:rsidRPr="0043224D">
        <w:rPr>
          <w:rFonts w:ascii="Times New Roman" w:hAnsi="Times New Roman" w:cs="Times New Roman"/>
          <w:sz w:val="24"/>
          <w:szCs w:val="24"/>
        </w:rPr>
        <w:t xml:space="preserve">8 and the </w:t>
      </w:r>
      <w:r w:rsidR="0032601B" w:rsidRPr="0043224D">
        <w:rPr>
          <w:rFonts w:ascii="Times New Roman" w:hAnsi="Times New Roman" w:cs="Times New Roman"/>
          <w:sz w:val="24"/>
          <w:szCs w:val="24"/>
        </w:rPr>
        <w:t xml:space="preserve">sequential </w:t>
      </w:r>
      <w:r w:rsidR="00C07A36" w:rsidRPr="0043224D">
        <w:rPr>
          <w:rFonts w:ascii="Times New Roman" w:hAnsi="Times New Roman" w:cs="Times New Roman"/>
          <w:sz w:val="24"/>
          <w:szCs w:val="24"/>
        </w:rPr>
        <w:t xml:space="preserve">order of its clauses are of importance. </w:t>
      </w:r>
      <w:r w:rsidR="00FC7855" w:rsidRPr="0043224D">
        <w:rPr>
          <w:rFonts w:ascii="Times New Roman" w:hAnsi="Times New Roman" w:cs="Times New Roman"/>
          <w:sz w:val="24"/>
          <w:szCs w:val="24"/>
        </w:rPr>
        <w:t xml:space="preserve">Article 8 clearly represents a considerable advance </w:t>
      </w:r>
      <w:r w:rsidR="0032601B" w:rsidRPr="0043224D">
        <w:rPr>
          <w:rFonts w:ascii="Times New Roman" w:hAnsi="Times New Roman" w:cs="Times New Roman"/>
          <w:sz w:val="24"/>
          <w:szCs w:val="24"/>
        </w:rPr>
        <w:t>from what has gone before in that for the first time in an international human rights instrument</w:t>
      </w:r>
      <w:r w:rsidR="00431819" w:rsidRPr="0043224D">
        <w:rPr>
          <w:rFonts w:ascii="Times New Roman" w:hAnsi="Times New Roman" w:cs="Times New Roman"/>
          <w:sz w:val="24"/>
          <w:szCs w:val="24"/>
        </w:rPr>
        <w:t>,</w:t>
      </w:r>
      <w:r w:rsidR="0032601B" w:rsidRPr="0043224D">
        <w:rPr>
          <w:rFonts w:ascii="Times New Roman" w:hAnsi="Times New Roman" w:cs="Times New Roman"/>
          <w:sz w:val="24"/>
          <w:szCs w:val="24"/>
        </w:rPr>
        <w:t xml:space="preserve"> states are </w:t>
      </w:r>
      <w:r w:rsidR="00EC64B6" w:rsidRPr="0043224D">
        <w:rPr>
          <w:rFonts w:ascii="Times New Roman" w:hAnsi="Times New Roman" w:cs="Times New Roman"/>
          <w:sz w:val="24"/>
          <w:szCs w:val="24"/>
        </w:rPr>
        <w:t>obliged</w:t>
      </w:r>
      <w:r w:rsidR="0032601B" w:rsidRPr="0043224D">
        <w:rPr>
          <w:rFonts w:ascii="Times New Roman" w:hAnsi="Times New Roman" w:cs="Times New Roman"/>
          <w:sz w:val="24"/>
          <w:szCs w:val="24"/>
        </w:rPr>
        <w:t xml:space="preserve"> to prevent </w:t>
      </w:r>
      <w:r w:rsidR="0032601B" w:rsidRPr="0043224D">
        <w:rPr>
          <w:rFonts w:ascii="Times New Roman" w:hAnsi="Times New Roman" w:cs="Times New Roman"/>
          <w:i/>
          <w:sz w:val="24"/>
          <w:szCs w:val="24"/>
        </w:rPr>
        <w:t xml:space="preserve">any </w:t>
      </w:r>
      <w:r w:rsidR="0032601B" w:rsidRPr="0043224D">
        <w:rPr>
          <w:rFonts w:ascii="Times New Roman" w:hAnsi="Times New Roman" w:cs="Times New Roman"/>
          <w:sz w:val="24"/>
          <w:szCs w:val="24"/>
        </w:rPr>
        <w:t>act, whether specific policies</w:t>
      </w:r>
      <w:r w:rsidR="00855C0A" w:rsidRPr="0043224D">
        <w:rPr>
          <w:rFonts w:ascii="Times New Roman" w:hAnsi="Times New Roman" w:cs="Times New Roman"/>
          <w:sz w:val="24"/>
          <w:szCs w:val="24"/>
        </w:rPr>
        <w:t xml:space="preserve"> or programmes enacted by law or in an ad hoc manner by </w:t>
      </w:r>
      <w:r w:rsidR="000309B1" w:rsidRPr="0043224D">
        <w:rPr>
          <w:rFonts w:ascii="Times New Roman" w:hAnsi="Times New Roman" w:cs="Times New Roman"/>
          <w:sz w:val="24"/>
          <w:szCs w:val="24"/>
        </w:rPr>
        <w:t>institutions of</w:t>
      </w:r>
      <w:r w:rsidR="00855C0A" w:rsidRPr="0043224D">
        <w:rPr>
          <w:rFonts w:ascii="Times New Roman" w:hAnsi="Times New Roman" w:cs="Times New Roman"/>
          <w:sz w:val="24"/>
          <w:szCs w:val="24"/>
        </w:rPr>
        <w:t xml:space="preserve"> the state, which</w:t>
      </w:r>
      <w:r w:rsidR="0032601B" w:rsidRPr="0043224D">
        <w:rPr>
          <w:rFonts w:ascii="Times New Roman" w:hAnsi="Times New Roman" w:cs="Times New Roman"/>
          <w:sz w:val="24"/>
          <w:szCs w:val="24"/>
        </w:rPr>
        <w:t xml:space="preserve"> has both the aim and the effect of ultimately causing displacement.</w:t>
      </w:r>
      <w:r w:rsidR="00943C42" w:rsidRPr="0043224D">
        <w:rPr>
          <w:rFonts w:ascii="Times New Roman" w:hAnsi="Times New Roman" w:cs="Times New Roman"/>
          <w:sz w:val="24"/>
          <w:szCs w:val="24"/>
        </w:rPr>
        <w:t xml:space="preserve"> Significantly, in clauses (a) (b) and (c),</w:t>
      </w:r>
      <w:r w:rsidR="00EC64B6" w:rsidRPr="0043224D">
        <w:rPr>
          <w:rFonts w:ascii="Times New Roman" w:hAnsi="Times New Roman" w:cs="Times New Roman"/>
          <w:sz w:val="24"/>
          <w:szCs w:val="24"/>
        </w:rPr>
        <w:t xml:space="preserve"> </w:t>
      </w:r>
      <w:r w:rsidR="00943C42" w:rsidRPr="0043224D">
        <w:rPr>
          <w:rFonts w:ascii="Times New Roman" w:hAnsi="Times New Roman" w:cs="Times New Roman"/>
          <w:sz w:val="24"/>
          <w:szCs w:val="24"/>
        </w:rPr>
        <w:t>t</w:t>
      </w:r>
      <w:r w:rsidR="00EC64B6" w:rsidRPr="0043224D">
        <w:rPr>
          <w:rFonts w:ascii="Times New Roman" w:hAnsi="Times New Roman" w:cs="Times New Roman"/>
          <w:sz w:val="24"/>
          <w:szCs w:val="24"/>
        </w:rPr>
        <w:t xml:space="preserve">he concepts of collective integrity, ethnic identity, territorial dispossession, and population transfer, are grouped together as constitutive parts of </w:t>
      </w:r>
      <w:r w:rsidR="00431819" w:rsidRPr="0043224D">
        <w:rPr>
          <w:rFonts w:ascii="Times New Roman" w:hAnsi="Times New Roman" w:cs="Times New Roman"/>
          <w:sz w:val="24"/>
          <w:szCs w:val="24"/>
        </w:rPr>
        <w:t>the displacement</w:t>
      </w:r>
      <w:r w:rsidR="00EC64B6" w:rsidRPr="0043224D">
        <w:rPr>
          <w:rFonts w:ascii="Times New Roman" w:hAnsi="Times New Roman" w:cs="Times New Roman"/>
          <w:sz w:val="24"/>
          <w:szCs w:val="24"/>
        </w:rPr>
        <w:t xml:space="preserve"> </w:t>
      </w:r>
      <w:r w:rsidR="00943C42" w:rsidRPr="0043224D">
        <w:rPr>
          <w:rFonts w:ascii="Times New Roman" w:hAnsi="Times New Roman" w:cs="Times New Roman"/>
          <w:sz w:val="24"/>
          <w:szCs w:val="24"/>
        </w:rPr>
        <w:t>process, which</w:t>
      </w:r>
      <w:r w:rsidR="00EC64B6" w:rsidRPr="0043224D">
        <w:rPr>
          <w:rFonts w:ascii="Times New Roman" w:hAnsi="Times New Roman" w:cs="Times New Roman"/>
          <w:sz w:val="24"/>
          <w:szCs w:val="24"/>
        </w:rPr>
        <w:t xml:space="preserve"> has as its aim or </w:t>
      </w:r>
      <w:r w:rsidR="000309B1" w:rsidRPr="0043224D">
        <w:rPr>
          <w:rFonts w:ascii="Times New Roman" w:hAnsi="Times New Roman" w:cs="Times New Roman"/>
          <w:sz w:val="24"/>
          <w:szCs w:val="24"/>
        </w:rPr>
        <w:t xml:space="preserve">its </w:t>
      </w:r>
      <w:r w:rsidR="00EC64B6" w:rsidRPr="0043224D">
        <w:rPr>
          <w:rFonts w:ascii="Times New Roman" w:hAnsi="Times New Roman" w:cs="Times New Roman"/>
          <w:sz w:val="24"/>
          <w:szCs w:val="24"/>
        </w:rPr>
        <w:t>effect</w:t>
      </w:r>
      <w:r w:rsidR="00943C42" w:rsidRPr="0043224D">
        <w:rPr>
          <w:rFonts w:ascii="Times New Roman" w:hAnsi="Times New Roman" w:cs="Times New Roman"/>
          <w:sz w:val="24"/>
          <w:szCs w:val="24"/>
        </w:rPr>
        <w:t>,</w:t>
      </w:r>
      <w:r w:rsidR="00EC64B6" w:rsidRPr="0043224D">
        <w:rPr>
          <w:rFonts w:ascii="Times New Roman" w:hAnsi="Times New Roman" w:cs="Times New Roman"/>
          <w:sz w:val="24"/>
          <w:szCs w:val="24"/>
        </w:rPr>
        <w:t xml:space="preserve"> </w:t>
      </w:r>
      <w:r w:rsidR="00943C42" w:rsidRPr="0043224D">
        <w:rPr>
          <w:rFonts w:ascii="Times New Roman" w:hAnsi="Times New Roman" w:cs="Times New Roman"/>
          <w:sz w:val="24"/>
          <w:szCs w:val="24"/>
        </w:rPr>
        <w:t xml:space="preserve">the conditions that produce </w:t>
      </w:r>
      <w:r w:rsidR="00EC64B6" w:rsidRPr="0043224D">
        <w:rPr>
          <w:rFonts w:ascii="Times New Roman" w:hAnsi="Times New Roman" w:cs="Times New Roman"/>
          <w:sz w:val="24"/>
          <w:szCs w:val="24"/>
        </w:rPr>
        <w:t xml:space="preserve">the displacement of indigenous peoples.    </w:t>
      </w:r>
      <w:r w:rsidR="0032601B" w:rsidRPr="0043224D">
        <w:rPr>
          <w:rFonts w:ascii="Times New Roman" w:hAnsi="Times New Roman" w:cs="Times New Roman"/>
          <w:sz w:val="24"/>
          <w:szCs w:val="24"/>
        </w:rPr>
        <w:t xml:space="preserve"> </w:t>
      </w:r>
    </w:p>
    <w:p w:rsidR="004027A2" w:rsidRPr="0043224D" w:rsidRDefault="00682DC6" w:rsidP="00060EEC">
      <w:pPr>
        <w:spacing w:line="360" w:lineRule="auto"/>
        <w:ind w:firstLine="720"/>
        <w:rPr>
          <w:rFonts w:ascii="Times New Roman" w:hAnsi="Times New Roman" w:cs="Times New Roman"/>
          <w:sz w:val="24"/>
          <w:szCs w:val="24"/>
        </w:rPr>
      </w:pPr>
      <w:r w:rsidRPr="0043224D">
        <w:rPr>
          <w:rFonts w:ascii="Times New Roman" w:hAnsi="Times New Roman" w:cs="Times New Roman"/>
          <w:sz w:val="24"/>
          <w:szCs w:val="24"/>
        </w:rPr>
        <w:t xml:space="preserve">Equally, article 10 begins with similar mandatory language. Although it does accept that relocation can and does take place as a result of development, it stipulates however that relocation </w:t>
      </w:r>
      <w:r w:rsidR="00942B9B" w:rsidRPr="0043224D">
        <w:rPr>
          <w:rFonts w:ascii="Times New Roman" w:hAnsi="Times New Roman" w:cs="Times New Roman"/>
          <w:sz w:val="24"/>
          <w:szCs w:val="24"/>
        </w:rPr>
        <w:t>can</w:t>
      </w:r>
      <w:r w:rsidRPr="0043224D">
        <w:rPr>
          <w:rFonts w:ascii="Times New Roman" w:hAnsi="Times New Roman" w:cs="Times New Roman"/>
          <w:sz w:val="24"/>
          <w:szCs w:val="24"/>
        </w:rPr>
        <w:t xml:space="preserve"> only take place if free, prior and informed consent is present, and if just and fair compensation is agreed upon. </w:t>
      </w:r>
      <w:r w:rsidR="0048034F" w:rsidRPr="0043224D">
        <w:rPr>
          <w:rFonts w:ascii="Times New Roman" w:hAnsi="Times New Roman" w:cs="Times New Roman"/>
          <w:sz w:val="24"/>
          <w:szCs w:val="24"/>
        </w:rPr>
        <w:t>D</w:t>
      </w:r>
      <w:r w:rsidRPr="0043224D">
        <w:rPr>
          <w:rFonts w:ascii="Times New Roman" w:hAnsi="Times New Roman" w:cs="Times New Roman"/>
          <w:sz w:val="24"/>
          <w:szCs w:val="24"/>
        </w:rPr>
        <w:t>ue</w:t>
      </w:r>
      <w:r w:rsidR="00A650A8" w:rsidRPr="0043224D">
        <w:rPr>
          <w:rFonts w:ascii="Times New Roman" w:hAnsi="Times New Roman" w:cs="Times New Roman"/>
          <w:sz w:val="24"/>
          <w:szCs w:val="24"/>
        </w:rPr>
        <w:t xml:space="preserve"> no doubt</w:t>
      </w:r>
      <w:r w:rsidRPr="0043224D">
        <w:rPr>
          <w:rFonts w:ascii="Times New Roman" w:hAnsi="Times New Roman" w:cs="Times New Roman"/>
          <w:sz w:val="24"/>
          <w:szCs w:val="24"/>
        </w:rPr>
        <w:t xml:space="preserve"> to push back</w:t>
      </w:r>
      <w:r w:rsidR="00F66D24" w:rsidRPr="0043224D">
        <w:rPr>
          <w:rFonts w:ascii="Times New Roman" w:hAnsi="Times New Roman" w:cs="Times New Roman"/>
          <w:sz w:val="24"/>
          <w:szCs w:val="24"/>
        </w:rPr>
        <w:t xml:space="preserve"> during </w:t>
      </w:r>
      <w:r w:rsidR="000309B1" w:rsidRPr="0043224D">
        <w:rPr>
          <w:rFonts w:ascii="Times New Roman" w:hAnsi="Times New Roman" w:cs="Times New Roman"/>
          <w:sz w:val="24"/>
          <w:szCs w:val="24"/>
        </w:rPr>
        <w:t xml:space="preserve">draft </w:t>
      </w:r>
      <w:r w:rsidR="00F66D24" w:rsidRPr="0043224D">
        <w:rPr>
          <w:rFonts w:ascii="Times New Roman" w:hAnsi="Times New Roman" w:cs="Times New Roman"/>
          <w:sz w:val="24"/>
          <w:szCs w:val="24"/>
        </w:rPr>
        <w:t>negotiations of the Declaration</w:t>
      </w:r>
      <w:r w:rsidRPr="0043224D">
        <w:rPr>
          <w:rFonts w:ascii="Times New Roman" w:hAnsi="Times New Roman" w:cs="Times New Roman"/>
          <w:sz w:val="24"/>
          <w:szCs w:val="24"/>
        </w:rPr>
        <w:t xml:space="preserve"> from </w:t>
      </w:r>
      <w:r w:rsidR="0048034F" w:rsidRPr="0043224D">
        <w:rPr>
          <w:rFonts w:ascii="Times New Roman" w:hAnsi="Times New Roman" w:cs="Times New Roman"/>
          <w:sz w:val="24"/>
          <w:szCs w:val="24"/>
        </w:rPr>
        <w:t>state representatives</w:t>
      </w:r>
      <w:r w:rsidRPr="0043224D">
        <w:rPr>
          <w:rFonts w:ascii="Times New Roman" w:hAnsi="Times New Roman" w:cs="Times New Roman"/>
          <w:sz w:val="24"/>
          <w:szCs w:val="24"/>
        </w:rPr>
        <w:t>, the option of return</w:t>
      </w:r>
      <w:r w:rsidR="00942B9B" w:rsidRPr="0043224D">
        <w:rPr>
          <w:rFonts w:ascii="Times New Roman" w:hAnsi="Times New Roman" w:cs="Times New Roman"/>
          <w:sz w:val="24"/>
          <w:szCs w:val="24"/>
        </w:rPr>
        <w:t xml:space="preserve"> to lands which indigenous peoples have been displaced from</w:t>
      </w:r>
      <w:r w:rsidRPr="0043224D">
        <w:rPr>
          <w:rFonts w:ascii="Times New Roman" w:hAnsi="Times New Roman" w:cs="Times New Roman"/>
          <w:sz w:val="24"/>
          <w:szCs w:val="24"/>
        </w:rPr>
        <w:t xml:space="preserve"> is </w:t>
      </w:r>
      <w:r w:rsidR="00F66D24" w:rsidRPr="0043224D">
        <w:rPr>
          <w:rFonts w:ascii="Times New Roman" w:hAnsi="Times New Roman" w:cs="Times New Roman"/>
          <w:sz w:val="24"/>
          <w:szCs w:val="24"/>
        </w:rPr>
        <w:t xml:space="preserve">posited </w:t>
      </w:r>
      <w:r w:rsidR="0048034F" w:rsidRPr="0043224D">
        <w:rPr>
          <w:rFonts w:ascii="Times New Roman" w:hAnsi="Times New Roman" w:cs="Times New Roman"/>
          <w:sz w:val="24"/>
          <w:szCs w:val="24"/>
        </w:rPr>
        <w:t xml:space="preserve">merely </w:t>
      </w:r>
      <w:r w:rsidR="00F66D24" w:rsidRPr="0043224D">
        <w:rPr>
          <w:rFonts w:ascii="Times New Roman" w:hAnsi="Times New Roman" w:cs="Times New Roman"/>
          <w:sz w:val="24"/>
          <w:szCs w:val="24"/>
        </w:rPr>
        <w:t>as a possibility</w:t>
      </w:r>
      <w:r w:rsidR="00DD009B" w:rsidRPr="0043224D">
        <w:rPr>
          <w:rFonts w:ascii="Times New Roman" w:hAnsi="Times New Roman" w:cs="Times New Roman"/>
          <w:sz w:val="24"/>
          <w:szCs w:val="24"/>
        </w:rPr>
        <w:t>, and not as a legal</w:t>
      </w:r>
      <w:r w:rsidR="00B66A05" w:rsidRPr="0043224D">
        <w:rPr>
          <w:rFonts w:ascii="Times New Roman" w:hAnsi="Times New Roman" w:cs="Times New Roman"/>
          <w:sz w:val="24"/>
          <w:szCs w:val="24"/>
        </w:rPr>
        <w:t xml:space="preserve"> right</w:t>
      </w:r>
      <w:r w:rsidR="00880CD3" w:rsidRPr="0043224D">
        <w:rPr>
          <w:rFonts w:ascii="Times New Roman" w:hAnsi="Times New Roman" w:cs="Times New Roman"/>
          <w:sz w:val="24"/>
          <w:szCs w:val="24"/>
        </w:rPr>
        <w:t>.</w:t>
      </w:r>
      <w:r w:rsidR="00F66D24" w:rsidRPr="0043224D">
        <w:rPr>
          <w:rFonts w:ascii="Times New Roman" w:hAnsi="Times New Roman" w:cs="Times New Roman"/>
          <w:sz w:val="24"/>
          <w:szCs w:val="24"/>
        </w:rPr>
        <w:t xml:space="preserve"> </w:t>
      </w:r>
      <w:r w:rsidRPr="0043224D">
        <w:rPr>
          <w:rFonts w:ascii="Times New Roman" w:hAnsi="Times New Roman" w:cs="Times New Roman"/>
          <w:sz w:val="24"/>
          <w:szCs w:val="24"/>
        </w:rPr>
        <w:t xml:space="preserve"> </w:t>
      </w:r>
      <w:r w:rsidR="00BC2F1F" w:rsidRPr="0043224D">
        <w:rPr>
          <w:rFonts w:ascii="Times New Roman" w:hAnsi="Times New Roman" w:cs="Times New Roman"/>
          <w:sz w:val="24"/>
          <w:szCs w:val="24"/>
        </w:rPr>
        <w:t>However, i</w:t>
      </w:r>
      <w:r w:rsidR="00431819" w:rsidRPr="0043224D">
        <w:rPr>
          <w:rFonts w:ascii="Times New Roman" w:hAnsi="Times New Roman" w:cs="Times New Roman"/>
          <w:sz w:val="24"/>
          <w:szCs w:val="24"/>
        </w:rPr>
        <w:t xml:space="preserve">t </w:t>
      </w:r>
      <w:r w:rsidR="0053426F" w:rsidRPr="0043224D">
        <w:rPr>
          <w:rFonts w:ascii="Times New Roman" w:hAnsi="Times New Roman" w:cs="Times New Roman"/>
          <w:sz w:val="24"/>
          <w:szCs w:val="24"/>
        </w:rPr>
        <w:t>is reasonable to presume that on and below</w:t>
      </w:r>
      <w:r w:rsidR="00431819" w:rsidRPr="0043224D">
        <w:rPr>
          <w:rFonts w:ascii="Times New Roman" w:hAnsi="Times New Roman" w:cs="Times New Roman"/>
          <w:sz w:val="24"/>
          <w:szCs w:val="24"/>
        </w:rPr>
        <w:t xml:space="preserve"> </w:t>
      </w:r>
      <w:r w:rsidR="0053426F" w:rsidRPr="0043224D">
        <w:rPr>
          <w:rFonts w:ascii="Times New Roman" w:hAnsi="Times New Roman" w:cs="Times New Roman"/>
          <w:sz w:val="24"/>
          <w:szCs w:val="24"/>
        </w:rPr>
        <w:t>indigenous lands</w:t>
      </w:r>
      <w:r w:rsidR="00BC2F1F" w:rsidRPr="0043224D">
        <w:rPr>
          <w:rFonts w:ascii="Times New Roman" w:hAnsi="Times New Roman" w:cs="Times New Roman"/>
          <w:sz w:val="24"/>
          <w:szCs w:val="24"/>
        </w:rPr>
        <w:t xml:space="preserve"> rich in resources such as oil, uranium, gas, ore and iron, all highly sought after commodities </w:t>
      </w:r>
      <w:r w:rsidR="00B66A05" w:rsidRPr="0043224D">
        <w:rPr>
          <w:rFonts w:ascii="Times New Roman" w:hAnsi="Times New Roman" w:cs="Times New Roman"/>
          <w:sz w:val="24"/>
          <w:szCs w:val="24"/>
        </w:rPr>
        <w:t>that</w:t>
      </w:r>
      <w:r w:rsidR="00BC2F1F" w:rsidRPr="0043224D">
        <w:rPr>
          <w:rFonts w:ascii="Times New Roman" w:hAnsi="Times New Roman" w:cs="Times New Roman"/>
          <w:sz w:val="24"/>
          <w:szCs w:val="24"/>
        </w:rPr>
        <w:t xml:space="preserve"> generate considerable government revenues</w:t>
      </w:r>
      <w:r w:rsidR="0014409D" w:rsidRPr="0043224D">
        <w:rPr>
          <w:rFonts w:ascii="Times New Roman" w:hAnsi="Times New Roman" w:cs="Times New Roman"/>
          <w:sz w:val="24"/>
          <w:szCs w:val="24"/>
        </w:rPr>
        <w:t>,</w:t>
      </w:r>
      <w:r w:rsidR="00BC2F1F" w:rsidRPr="0043224D">
        <w:rPr>
          <w:rFonts w:ascii="Times New Roman" w:hAnsi="Times New Roman" w:cs="Times New Roman"/>
          <w:sz w:val="24"/>
          <w:szCs w:val="24"/>
        </w:rPr>
        <w:t xml:space="preserve"> state</w:t>
      </w:r>
      <w:r w:rsidR="00431819" w:rsidRPr="0043224D">
        <w:rPr>
          <w:rFonts w:ascii="Times New Roman" w:hAnsi="Times New Roman" w:cs="Times New Roman"/>
          <w:sz w:val="24"/>
          <w:szCs w:val="24"/>
        </w:rPr>
        <w:t xml:space="preserve"> representatives </w:t>
      </w:r>
      <w:r w:rsidR="00BC2F1F" w:rsidRPr="0043224D">
        <w:rPr>
          <w:rFonts w:ascii="Times New Roman" w:hAnsi="Times New Roman" w:cs="Times New Roman"/>
          <w:sz w:val="24"/>
          <w:szCs w:val="24"/>
        </w:rPr>
        <w:t>in the draft negotiation stage were as much concerned as to the financial, political and economic implications and costs</w:t>
      </w:r>
      <w:r w:rsidR="0048034F" w:rsidRPr="0043224D">
        <w:rPr>
          <w:rFonts w:ascii="Times New Roman" w:hAnsi="Times New Roman" w:cs="Times New Roman"/>
          <w:sz w:val="24"/>
          <w:szCs w:val="24"/>
        </w:rPr>
        <w:t xml:space="preserve"> of return,</w:t>
      </w:r>
      <w:r w:rsidR="00B66A05" w:rsidRPr="0043224D">
        <w:rPr>
          <w:rFonts w:ascii="Times New Roman" w:hAnsi="Times New Roman" w:cs="Times New Roman"/>
          <w:sz w:val="24"/>
          <w:szCs w:val="24"/>
        </w:rPr>
        <w:t xml:space="preserve"> as they were to the legal implications</w:t>
      </w:r>
      <w:r w:rsidR="00E95269" w:rsidRPr="0043224D">
        <w:rPr>
          <w:rFonts w:ascii="Times New Roman" w:hAnsi="Times New Roman" w:cs="Times New Roman"/>
          <w:sz w:val="24"/>
          <w:szCs w:val="24"/>
        </w:rPr>
        <w:t xml:space="preserve"> </w:t>
      </w:r>
      <w:r w:rsidR="00B66A05" w:rsidRPr="0043224D">
        <w:rPr>
          <w:rFonts w:ascii="Times New Roman" w:hAnsi="Times New Roman" w:cs="Times New Roman"/>
          <w:sz w:val="24"/>
          <w:szCs w:val="24"/>
        </w:rPr>
        <w:t xml:space="preserve">Consequently, </w:t>
      </w:r>
      <w:r w:rsidR="0048034F" w:rsidRPr="0043224D">
        <w:rPr>
          <w:rFonts w:ascii="Times New Roman" w:hAnsi="Times New Roman" w:cs="Times New Roman"/>
          <w:sz w:val="24"/>
          <w:szCs w:val="24"/>
        </w:rPr>
        <w:t xml:space="preserve">and </w:t>
      </w:r>
      <w:r w:rsidR="00C24A4B" w:rsidRPr="0043224D">
        <w:rPr>
          <w:rFonts w:ascii="Times New Roman" w:hAnsi="Times New Roman" w:cs="Times New Roman"/>
          <w:sz w:val="24"/>
          <w:szCs w:val="24"/>
        </w:rPr>
        <w:t>predictably given nation-state’s possessive hold on what could be termed resource sovereignty</w:t>
      </w:r>
      <w:r w:rsidR="0048034F" w:rsidRPr="0043224D">
        <w:rPr>
          <w:rFonts w:ascii="Times New Roman" w:hAnsi="Times New Roman" w:cs="Times New Roman"/>
          <w:sz w:val="24"/>
          <w:szCs w:val="24"/>
        </w:rPr>
        <w:t xml:space="preserve">, </w:t>
      </w:r>
      <w:r w:rsidR="00B66A05" w:rsidRPr="0043224D">
        <w:rPr>
          <w:rFonts w:ascii="Times New Roman" w:hAnsi="Times New Roman" w:cs="Times New Roman"/>
          <w:sz w:val="24"/>
          <w:szCs w:val="24"/>
        </w:rPr>
        <w:t>negotiations on the</w:t>
      </w:r>
      <w:r w:rsidR="00BC2F1F" w:rsidRPr="0043224D">
        <w:rPr>
          <w:rFonts w:ascii="Times New Roman" w:hAnsi="Times New Roman" w:cs="Times New Roman"/>
          <w:sz w:val="24"/>
          <w:szCs w:val="24"/>
        </w:rPr>
        <w:t xml:space="preserve"> </w:t>
      </w:r>
      <w:r w:rsidR="00C63038" w:rsidRPr="0043224D">
        <w:rPr>
          <w:rFonts w:ascii="Times New Roman" w:hAnsi="Times New Roman" w:cs="Times New Roman"/>
          <w:sz w:val="24"/>
          <w:szCs w:val="24"/>
        </w:rPr>
        <w:t>provisions on lands, territories, and resources (LTR</w:t>
      </w:r>
      <w:r w:rsidR="00C24A4B" w:rsidRPr="0043224D">
        <w:rPr>
          <w:rFonts w:ascii="Times New Roman" w:hAnsi="Times New Roman" w:cs="Times New Roman"/>
          <w:sz w:val="24"/>
          <w:szCs w:val="24"/>
        </w:rPr>
        <w:t>s</w:t>
      </w:r>
      <w:r w:rsidR="00C63038" w:rsidRPr="0043224D">
        <w:rPr>
          <w:rFonts w:ascii="Times New Roman" w:hAnsi="Times New Roman" w:cs="Times New Roman"/>
          <w:sz w:val="24"/>
          <w:szCs w:val="24"/>
        </w:rPr>
        <w:t>) in the Declaration were</w:t>
      </w:r>
      <w:r w:rsidR="0014409D" w:rsidRPr="0043224D">
        <w:rPr>
          <w:rFonts w:ascii="Times New Roman" w:hAnsi="Times New Roman" w:cs="Times New Roman"/>
          <w:sz w:val="24"/>
          <w:szCs w:val="24"/>
        </w:rPr>
        <w:t xml:space="preserve"> unsurprisingly highly problematic. As Mattias Ahrén notes, </w:t>
      </w:r>
      <w:r w:rsidR="00B66A05" w:rsidRPr="0043224D">
        <w:rPr>
          <w:rFonts w:ascii="Times New Roman" w:hAnsi="Times New Roman" w:cs="Times New Roman"/>
          <w:sz w:val="24"/>
          <w:szCs w:val="24"/>
        </w:rPr>
        <w:t>the key problem</w:t>
      </w:r>
      <w:r w:rsidR="001652BD" w:rsidRPr="0043224D">
        <w:rPr>
          <w:rFonts w:ascii="Times New Roman" w:hAnsi="Times New Roman" w:cs="Times New Roman"/>
          <w:sz w:val="24"/>
          <w:szCs w:val="24"/>
        </w:rPr>
        <w:t xml:space="preserve"> centres</w:t>
      </w:r>
      <w:r w:rsidR="00C63038" w:rsidRPr="0043224D">
        <w:rPr>
          <w:rFonts w:ascii="Times New Roman" w:hAnsi="Times New Roman" w:cs="Times New Roman"/>
          <w:sz w:val="24"/>
          <w:szCs w:val="24"/>
        </w:rPr>
        <w:t xml:space="preserve"> on the issue of the right</w:t>
      </w:r>
      <w:r w:rsidR="00C24A4B" w:rsidRPr="0043224D">
        <w:rPr>
          <w:rFonts w:ascii="Times New Roman" w:hAnsi="Times New Roman" w:cs="Times New Roman"/>
          <w:sz w:val="24"/>
          <w:szCs w:val="24"/>
        </w:rPr>
        <w:t>s of “ownership” of LTRs.</w:t>
      </w:r>
      <w:r w:rsidR="00C63038" w:rsidRPr="0043224D">
        <w:rPr>
          <w:rStyle w:val="FootnoteReference"/>
          <w:rFonts w:ascii="Times New Roman" w:hAnsi="Times New Roman" w:cs="Times New Roman"/>
          <w:sz w:val="24"/>
          <w:szCs w:val="24"/>
        </w:rPr>
        <w:footnoteReference w:id="199"/>
      </w:r>
      <w:r w:rsidR="001652BD" w:rsidRPr="0043224D">
        <w:rPr>
          <w:rFonts w:ascii="Times New Roman" w:hAnsi="Times New Roman" w:cs="Times New Roman"/>
          <w:sz w:val="24"/>
          <w:szCs w:val="24"/>
        </w:rPr>
        <w:t xml:space="preserve"> </w:t>
      </w:r>
      <w:r w:rsidR="004B5B9B" w:rsidRPr="0043224D">
        <w:rPr>
          <w:rFonts w:ascii="Times New Roman" w:hAnsi="Times New Roman" w:cs="Times New Roman"/>
          <w:sz w:val="24"/>
          <w:szCs w:val="24"/>
        </w:rPr>
        <w:t xml:space="preserve"> As no doubt the drafters of the D</w:t>
      </w:r>
      <w:r w:rsidR="004027A2" w:rsidRPr="0043224D">
        <w:rPr>
          <w:rFonts w:ascii="Times New Roman" w:hAnsi="Times New Roman" w:cs="Times New Roman"/>
          <w:sz w:val="24"/>
          <w:szCs w:val="24"/>
        </w:rPr>
        <w:t>e</w:t>
      </w:r>
      <w:r w:rsidR="004B5B9B" w:rsidRPr="0043224D">
        <w:rPr>
          <w:rFonts w:ascii="Times New Roman" w:hAnsi="Times New Roman" w:cs="Times New Roman"/>
          <w:sz w:val="24"/>
          <w:szCs w:val="24"/>
        </w:rPr>
        <w:t>claration from the “indigenous side” were aware, s</w:t>
      </w:r>
      <w:r w:rsidR="00C24A4B" w:rsidRPr="0043224D">
        <w:rPr>
          <w:rFonts w:ascii="Times New Roman" w:hAnsi="Times New Roman" w:cs="Times New Roman"/>
          <w:sz w:val="24"/>
          <w:szCs w:val="24"/>
        </w:rPr>
        <w:t>tates jealously guard the right to expropriate lands and reserve the right to “eminent domain”, that is, “the power of the state to seize private property without the owner’s consent.”</w:t>
      </w:r>
      <w:r w:rsidR="00C24A4B" w:rsidRPr="0043224D">
        <w:rPr>
          <w:rStyle w:val="FootnoteReference"/>
          <w:rFonts w:ascii="Times New Roman" w:hAnsi="Times New Roman" w:cs="Times New Roman"/>
          <w:sz w:val="24"/>
          <w:szCs w:val="24"/>
        </w:rPr>
        <w:footnoteReference w:id="200"/>
      </w:r>
      <w:r w:rsidR="004B5B9B" w:rsidRPr="0043224D">
        <w:rPr>
          <w:rFonts w:ascii="Times New Roman" w:hAnsi="Times New Roman" w:cs="Times New Roman"/>
          <w:sz w:val="24"/>
          <w:szCs w:val="24"/>
        </w:rPr>
        <w:t xml:space="preserve"> </w:t>
      </w:r>
      <w:r w:rsidR="004027A2" w:rsidRPr="0043224D">
        <w:rPr>
          <w:rFonts w:ascii="Times New Roman" w:hAnsi="Times New Roman" w:cs="Times New Roman"/>
          <w:sz w:val="24"/>
          <w:szCs w:val="24"/>
        </w:rPr>
        <w:t>The question then becomes when it is a legitimate aim for the state</w:t>
      </w:r>
      <w:r w:rsidR="00D8127D" w:rsidRPr="0043224D">
        <w:rPr>
          <w:rFonts w:ascii="Times New Roman" w:hAnsi="Times New Roman" w:cs="Times New Roman"/>
          <w:sz w:val="24"/>
          <w:szCs w:val="24"/>
        </w:rPr>
        <w:t xml:space="preserve"> to</w:t>
      </w:r>
      <w:r w:rsidR="004027A2" w:rsidRPr="0043224D">
        <w:rPr>
          <w:rFonts w:ascii="Times New Roman" w:hAnsi="Times New Roman" w:cs="Times New Roman"/>
          <w:sz w:val="24"/>
          <w:szCs w:val="24"/>
        </w:rPr>
        <w:t xml:space="preserve"> exercise this right</w:t>
      </w:r>
      <w:r w:rsidR="0053426F" w:rsidRPr="0043224D">
        <w:rPr>
          <w:rFonts w:ascii="Times New Roman" w:hAnsi="Times New Roman" w:cs="Times New Roman"/>
          <w:sz w:val="24"/>
          <w:szCs w:val="24"/>
        </w:rPr>
        <w:t>, the broad answer to this question is highly differentiated</w:t>
      </w:r>
      <w:r w:rsidR="00D8127D" w:rsidRPr="0043224D">
        <w:rPr>
          <w:rFonts w:ascii="Times New Roman" w:hAnsi="Times New Roman" w:cs="Times New Roman"/>
          <w:sz w:val="24"/>
          <w:szCs w:val="24"/>
        </w:rPr>
        <w:t>, depending</w:t>
      </w:r>
      <w:r w:rsidR="0053426F" w:rsidRPr="0043224D">
        <w:rPr>
          <w:rFonts w:ascii="Times New Roman" w:hAnsi="Times New Roman" w:cs="Times New Roman"/>
          <w:sz w:val="24"/>
          <w:szCs w:val="24"/>
        </w:rPr>
        <w:t xml:space="preserve"> on whether or not the state is in the global South or global North</w:t>
      </w:r>
      <w:r w:rsidR="00D8127D" w:rsidRPr="0043224D">
        <w:rPr>
          <w:rFonts w:ascii="Times New Roman" w:hAnsi="Times New Roman" w:cs="Times New Roman"/>
          <w:sz w:val="24"/>
          <w:szCs w:val="24"/>
        </w:rPr>
        <w:t>, and how well the rule of law can be implemented</w:t>
      </w:r>
      <w:r w:rsidR="004027A2" w:rsidRPr="0043224D">
        <w:rPr>
          <w:rFonts w:ascii="Times New Roman" w:hAnsi="Times New Roman" w:cs="Times New Roman"/>
          <w:sz w:val="24"/>
          <w:szCs w:val="24"/>
        </w:rPr>
        <w:t>.  Accordingly, without ownership and legal title to land it follows that is much more uncomplicated for states to displace and dispossess in the name of development in the national interest for the “public benefit”. Although it is not possible to engage with this issue here in any great detail</w:t>
      </w:r>
      <w:r w:rsidR="005729CD" w:rsidRPr="0043224D">
        <w:rPr>
          <w:rFonts w:ascii="Times New Roman" w:hAnsi="Times New Roman" w:cs="Times New Roman"/>
          <w:sz w:val="24"/>
          <w:szCs w:val="24"/>
        </w:rPr>
        <w:t xml:space="preserve"> as a full exploration of the content of the LTRs is beyond the scope of this thesis</w:t>
      </w:r>
      <w:r w:rsidR="004027A2" w:rsidRPr="0043224D">
        <w:rPr>
          <w:rFonts w:ascii="Times New Roman" w:hAnsi="Times New Roman" w:cs="Times New Roman"/>
          <w:sz w:val="24"/>
          <w:szCs w:val="24"/>
        </w:rPr>
        <w:t>, the</w:t>
      </w:r>
      <w:r w:rsidR="005729CD" w:rsidRPr="0043224D">
        <w:rPr>
          <w:rFonts w:ascii="Times New Roman" w:hAnsi="Times New Roman" w:cs="Times New Roman"/>
          <w:sz w:val="24"/>
          <w:szCs w:val="24"/>
        </w:rPr>
        <w:t xml:space="preserve"> next</w:t>
      </w:r>
      <w:r w:rsidR="004027A2" w:rsidRPr="0043224D">
        <w:rPr>
          <w:rFonts w:ascii="Times New Roman" w:hAnsi="Times New Roman" w:cs="Times New Roman"/>
          <w:sz w:val="24"/>
          <w:szCs w:val="24"/>
        </w:rPr>
        <w:t xml:space="preserve"> section/chapter on key international jurisprudence</w:t>
      </w:r>
      <w:r w:rsidR="005729CD" w:rsidRPr="0043224D">
        <w:rPr>
          <w:rFonts w:ascii="Times New Roman" w:hAnsi="Times New Roman" w:cs="Times New Roman"/>
          <w:sz w:val="24"/>
          <w:szCs w:val="24"/>
        </w:rPr>
        <w:t xml:space="preserve"> does however raise</w:t>
      </w:r>
      <w:r w:rsidR="004027A2" w:rsidRPr="0043224D">
        <w:rPr>
          <w:rFonts w:ascii="Times New Roman" w:hAnsi="Times New Roman" w:cs="Times New Roman"/>
          <w:sz w:val="24"/>
          <w:szCs w:val="24"/>
        </w:rPr>
        <w:t xml:space="preserve"> many of the issues which arise when indigenous peoples are displaced</w:t>
      </w:r>
      <w:r w:rsidR="00D8127D" w:rsidRPr="0043224D">
        <w:rPr>
          <w:rFonts w:ascii="Times New Roman" w:hAnsi="Times New Roman" w:cs="Times New Roman"/>
          <w:sz w:val="24"/>
          <w:szCs w:val="24"/>
        </w:rPr>
        <w:t>, and what are the obligations of the state</w:t>
      </w:r>
      <w:r w:rsidR="004027A2" w:rsidRPr="0043224D">
        <w:rPr>
          <w:rFonts w:ascii="Times New Roman" w:hAnsi="Times New Roman" w:cs="Times New Roman"/>
          <w:sz w:val="24"/>
          <w:szCs w:val="24"/>
        </w:rPr>
        <w:t xml:space="preserve"> </w:t>
      </w:r>
      <w:r w:rsidR="00D8127D" w:rsidRPr="0043224D">
        <w:rPr>
          <w:rFonts w:ascii="Times New Roman" w:hAnsi="Times New Roman" w:cs="Times New Roman"/>
          <w:sz w:val="24"/>
          <w:szCs w:val="24"/>
        </w:rPr>
        <w:t xml:space="preserve">when populations are forcibly displaced. </w:t>
      </w:r>
      <w:r w:rsidR="004027A2" w:rsidRPr="0043224D">
        <w:rPr>
          <w:rFonts w:ascii="Times New Roman" w:hAnsi="Times New Roman" w:cs="Times New Roman"/>
          <w:sz w:val="24"/>
          <w:szCs w:val="24"/>
        </w:rPr>
        <w:t xml:space="preserve">  </w:t>
      </w:r>
    </w:p>
    <w:p w:rsidR="00C24A4B" w:rsidRPr="0043224D" w:rsidRDefault="00C24A4B" w:rsidP="009F50E1">
      <w:pPr>
        <w:spacing w:line="360" w:lineRule="auto"/>
        <w:rPr>
          <w:rFonts w:ascii="Times New Roman" w:hAnsi="Times New Roman" w:cs="Times New Roman"/>
          <w:sz w:val="24"/>
          <w:szCs w:val="24"/>
        </w:rPr>
      </w:pPr>
    </w:p>
    <w:p w:rsidR="00941E7F" w:rsidRDefault="00941E7F" w:rsidP="00682DC6">
      <w:pPr>
        <w:tabs>
          <w:tab w:val="left" w:pos="1694"/>
        </w:tabs>
        <w:spacing w:line="360" w:lineRule="auto"/>
        <w:rPr>
          <w:rFonts w:ascii="Times New Roman" w:hAnsi="Times New Roman" w:cs="Times New Roman"/>
          <w:sz w:val="28"/>
          <w:szCs w:val="28"/>
        </w:rPr>
      </w:pPr>
    </w:p>
    <w:p w:rsidR="00060EEC" w:rsidRDefault="00060EEC">
      <w:pPr>
        <w:rPr>
          <w:rFonts w:ascii="Times New Roman" w:eastAsiaTheme="majorEastAsia" w:hAnsi="Times New Roman" w:cstheme="majorBidi"/>
          <w:b/>
          <w:bCs/>
          <w:color w:val="365F91" w:themeColor="accent1" w:themeShade="BF"/>
          <w:sz w:val="36"/>
          <w:szCs w:val="28"/>
        </w:rPr>
      </w:pPr>
      <w:r>
        <w:br w:type="page"/>
      </w:r>
    </w:p>
    <w:p w:rsidR="00BB22A9" w:rsidRDefault="008A2C9C" w:rsidP="006412ED">
      <w:pPr>
        <w:pStyle w:val="Heading1"/>
        <w:spacing w:line="360" w:lineRule="auto"/>
      </w:pPr>
      <w:bookmarkStart w:id="36" w:name="_Toc399848368"/>
      <w:r w:rsidRPr="00254C2D">
        <w:t xml:space="preserve">Chapter </w:t>
      </w:r>
      <w:r w:rsidR="009D6EE2">
        <w:t>6</w:t>
      </w:r>
      <w:r w:rsidR="00850722">
        <w:t xml:space="preserve"> -</w:t>
      </w:r>
      <w:r w:rsidR="00BB22A9" w:rsidRPr="00254C2D">
        <w:t xml:space="preserve"> Obligations of States to Adequately Protect the Right not to be </w:t>
      </w:r>
      <w:r w:rsidR="00AB7A01" w:rsidRPr="00254C2D">
        <w:t>F</w:t>
      </w:r>
      <w:r w:rsidR="00BB22A9" w:rsidRPr="00254C2D">
        <w:t xml:space="preserve">orcibly </w:t>
      </w:r>
      <w:r w:rsidR="00AB7A01" w:rsidRPr="00254C2D">
        <w:t>D</w:t>
      </w:r>
      <w:r w:rsidR="00BB22A9" w:rsidRPr="00254C2D">
        <w:t>isplaced</w:t>
      </w:r>
      <w:bookmarkEnd w:id="36"/>
    </w:p>
    <w:p w:rsidR="00F43BAC" w:rsidRPr="00F43BAC" w:rsidRDefault="00F43BAC" w:rsidP="006412ED">
      <w:pPr>
        <w:autoSpaceDE w:val="0"/>
        <w:autoSpaceDN w:val="0"/>
        <w:adjustRightInd w:val="0"/>
        <w:spacing w:after="0" w:line="360" w:lineRule="auto"/>
        <w:rPr>
          <w:rFonts w:ascii="Times New Roman" w:hAnsi="Times New Roman" w:cs="Times New Roman"/>
          <w:b/>
          <w:i/>
          <w:iCs/>
          <w:sz w:val="24"/>
          <w:szCs w:val="24"/>
        </w:rPr>
      </w:pPr>
    </w:p>
    <w:p w:rsidR="003F7C2D" w:rsidRPr="006A02CF" w:rsidRDefault="009D6EE2" w:rsidP="006412ED">
      <w:pPr>
        <w:pStyle w:val="Heading2"/>
        <w:spacing w:line="360" w:lineRule="auto"/>
        <w:rPr>
          <w:shd w:val="clear" w:color="auto" w:fill="FFFFFF"/>
        </w:rPr>
      </w:pPr>
      <w:bookmarkStart w:id="37" w:name="_Toc399848369"/>
      <w:r>
        <w:rPr>
          <w:shd w:val="clear" w:color="auto" w:fill="FFFFFF"/>
        </w:rPr>
        <w:t xml:space="preserve">6.1 </w:t>
      </w:r>
      <w:r w:rsidR="003F7C2D" w:rsidRPr="006A02CF">
        <w:rPr>
          <w:shd w:val="clear" w:color="auto" w:fill="FFFFFF"/>
        </w:rPr>
        <w:t>Introduction</w:t>
      </w:r>
      <w:r>
        <w:rPr>
          <w:shd w:val="clear" w:color="auto" w:fill="FFFFFF"/>
        </w:rPr>
        <w:t>: Key Jurisprudence in the Fight against Forcible Displacement</w:t>
      </w:r>
      <w:bookmarkEnd w:id="37"/>
      <w:r>
        <w:rPr>
          <w:shd w:val="clear" w:color="auto" w:fill="FFFFFF"/>
        </w:rPr>
        <w:t xml:space="preserve"> </w:t>
      </w:r>
      <w:r w:rsidR="003F7C2D" w:rsidRPr="006A02CF">
        <w:rPr>
          <w:shd w:val="clear" w:color="auto" w:fill="FFFFFF"/>
        </w:rPr>
        <w:t xml:space="preserve"> </w:t>
      </w:r>
    </w:p>
    <w:p w:rsidR="006A02CF" w:rsidRPr="006412ED" w:rsidRDefault="003F7C2D" w:rsidP="00060EEC">
      <w:pPr>
        <w:spacing w:line="360" w:lineRule="auto"/>
        <w:ind w:firstLine="720"/>
        <w:rPr>
          <w:rFonts w:ascii="Times New Roman" w:hAnsi="Times New Roman" w:cs="Times New Roman"/>
          <w:sz w:val="24"/>
          <w:szCs w:val="24"/>
          <w:shd w:val="clear" w:color="auto" w:fill="FFFFFF"/>
        </w:rPr>
      </w:pPr>
      <w:r w:rsidRPr="006412ED">
        <w:rPr>
          <w:rFonts w:ascii="Times New Roman" w:hAnsi="Times New Roman" w:cs="Times New Roman"/>
          <w:sz w:val="24"/>
          <w:szCs w:val="24"/>
          <w:shd w:val="clear" w:color="auto" w:fill="FFFFFF"/>
        </w:rPr>
        <w:t>As a general rule, national law and the development policies of the majority of states do</w:t>
      </w:r>
      <w:r w:rsidR="00A650A8" w:rsidRPr="006412ED">
        <w:rPr>
          <w:rFonts w:ascii="Times New Roman" w:hAnsi="Times New Roman" w:cs="Times New Roman"/>
          <w:sz w:val="24"/>
          <w:szCs w:val="24"/>
          <w:shd w:val="clear" w:color="auto" w:fill="FFFFFF"/>
        </w:rPr>
        <w:t>es</w:t>
      </w:r>
      <w:r w:rsidRPr="006412ED">
        <w:rPr>
          <w:rFonts w:ascii="Times New Roman" w:hAnsi="Times New Roman" w:cs="Times New Roman"/>
          <w:sz w:val="24"/>
          <w:szCs w:val="24"/>
          <w:shd w:val="clear" w:color="auto" w:fill="FFFFFF"/>
        </w:rPr>
        <w:t xml:space="preserve"> not adequately protect</w:t>
      </w:r>
      <w:r w:rsidR="007D7A0E" w:rsidRPr="006412ED">
        <w:rPr>
          <w:rFonts w:ascii="Times New Roman" w:hAnsi="Times New Roman" w:cs="Times New Roman"/>
          <w:sz w:val="24"/>
          <w:szCs w:val="24"/>
          <w:shd w:val="clear" w:color="auto" w:fill="FFFFFF"/>
        </w:rPr>
        <w:t xml:space="preserve"> the rights of</w:t>
      </w:r>
      <w:r w:rsidRPr="006412ED">
        <w:rPr>
          <w:rFonts w:ascii="Times New Roman" w:hAnsi="Times New Roman" w:cs="Times New Roman"/>
          <w:sz w:val="24"/>
          <w:szCs w:val="24"/>
          <w:shd w:val="clear" w:color="auto" w:fill="FFFFFF"/>
        </w:rPr>
        <w:t xml:space="preserve"> indigenous peoples.</w:t>
      </w:r>
      <w:r w:rsidR="007A39AA" w:rsidRPr="006412ED">
        <w:rPr>
          <w:rFonts w:ascii="Times New Roman" w:hAnsi="Times New Roman" w:cs="Times New Roman"/>
          <w:sz w:val="24"/>
          <w:szCs w:val="24"/>
          <w:shd w:val="clear" w:color="auto" w:fill="FFFFFF"/>
        </w:rPr>
        <w:t xml:space="preserve"> This lack of protection</w:t>
      </w:r>
      <w:r w:rsidR="00C63BCF" w:rsidRPr="006412ED">
        <w:rPr>
          <w:rFonts w:ascii="Times New Roman" w:hAnsi="Times New Roman" w:cs="Times New Roman"/>
          <w:sz w:val="24"/>
          <w:szCs w:val="24"/>
          <w:shd w:val="clear" w:color="auto" w:fill="FFFFFF"/>
        </w:rPr>
        <w:t xml:space="preserve"> at the domestic level</w:t>
      </w:r>
      <w:r w:rsidR="007A39AA" w:rsidRPr="006412ED">
        <w:rPr>
          <w:rFonts w:ascii="Times New Roman" w:hAnsi="Times New Roman" w:cs="Times New Roman"/>
          <w:sz w:val="24"/>
          <w:szCs w:val="24"/>
          <w:shd w:val="clear" w:color="auto" w:fill="FFFFFF"/>
        </w:rPr>
        <w:t xml:space="preserve"> has led many indigenous peoples to se</w:t>
      </w:r>
      <w:r w:rsidR="00C63BCF" w:rsidRPr="006412ED">
        <w:rPr>
          <w:rFonts w:ascii="Times New Roman" w:hAnsi="Times New Roman" w:cs="Times New Roman"/>
          <w:sz w:val="24"/>
          <w:szCs w:val="24"/>
          <w:shd w:val="clear" w:color="auto" w:fill="FFFFFF"/>
        </w:rPr>
        <w:t>ek</w:t>
      </w:r>
      <w:r w:rsidR="007A39AA" w:rsidRPr="006412ED">
        <w:rPr>
          <w:rFonts w:ascii="Times New Roman" w:hAnsi="Times New Roman" w:cs="Times New Roman"/>
          <w:sz w:val="24"/>
          <w:szCs w:val="24"/>
          <w:shd w:val="clear" w:color="auto" w:fill="FFFFFF"/>
        </w:rPr>
        <w:t xml:space="preserve"> </w:t>
      </w:r>
      <w:r w:rsidR="00C63BCF" w:rsidRPr="006412ED">
        <w:rPr>
          <w:rFonts w:ascii="Times New Roman" w:hAnsi="Times New Roman" w:cs="Times New Roman"/>
          <w:sz w:val="24"/>
          <w:szCs w:val="24"/>
          <w:shd w:val="clear" w:color="auto" w:fill="FFFFFF"/>
        </w:rPr>
        <w:t>effective remedies from both international compliance mechanisms such as the HRC, and from regional commissions such as the African Commission.</w:t>
      </w:r>
      <w:r w:rsidRPr="006412ED">
        <w:rPr>
          <w:rFonts w:ascii="Times New Roman" w:hAnsi="Times New Roman" w:cs="Times New Roman"/>
          <w:sz w:val="24"/>
          <w:szCs w:val="24"/>
          <w:shd w:val="clear" w:color="auto" w:fill="FFFFFF"/>
        </w:rPr>
        <w:t xml:space="preserve"> As has been discussed, indigenous peoples are</w:t>
      </w:r>
      <w:r w:rsidR="007D7A0E" w:rsidRPr="006412ED">
        <w:rPr>
          <w:rFonts w:ascii="Times New Roman" w:hAnsi="Times New Roman" w:cs="Times New Roman"/>
          <w:sz w:val="24"/>
          <w:szCs w:val="24"/>
          <w:shd w:val="clear" w:color="auto" w:fill="FFFFFF"/>
        </w:rPr>
        <w:t xml:space="preserve"> </w:t>
      </w:r>
      <w:r w:rsidR="00081C31" w:rsidRPr="006412ED">
        <w:rPr>
          <w:rFonts w:ascii="Times New Roman" w:hAnsi="Times New Roman" w:cs="Times New Roman"/>
          <w:sz w:val="24"/>
          <w:szCs w:val="24"/>
          <w:shd w:val="clear" w:color="auto" w:fill="FFFFFF"/>
        </w:rPr>
        <w:t xml:space="preserve">often </w:t>
      </w:r>
      <w:r w:rsidR="007D7A0E" w:rsidRPr="006412ED">
        <w:rPr>
          <w:rFonts w:ascii="Times New Roman" w:hAnsi="Times New Roman" w:cs="Times New Roman"/>
          <w:sz w:val="24"/>
          <w:szCs w:val="24"/>
          <w:shd w:val="clear" w:color="auto" w:fill="FFFFFF"/>
        </w:rPr>
        <w:t>seen as being “in the way” of the economic and social nation building, particularly in post-colonial countries. In a very real sense, they are</w:t>
      </w:r>
      <w:r w:rsidR="00081C31" w:rsidRPr="006412ED">
        <w:rPr>
          <w:rFonts w:ascii="Times New Roman" w:hAnsi="Times New Roman" w:cs="Times New Roman"/>
          <w:sz w:val="24"/>
          <w:szCs w:val="24"/>
          <w:shd w:val="clear" w:color="auto" w:fill="FFFFFF"/>
        </w:rPr>
        <w:t xml:space="preserve"> perceived</w:t>
      </w:r>
      <w:r w:rsidR="007D7A0E" w:rsidRPr="006412ED">
        <w:rPr>
          <w:rFonts w:ascii="Times New Roman" w:hAnsi="Times New Roman" w:cs="Times New Roman"/>
          <w:sz w:val="24"/>
          <w:szCs w:val="24"/>
          <w:shd w:val="clear" w:color="auto" w:fill="FFFFFF"/>
        </w:rPr>
        <w:t xml:space="preserve"> </w:t>
      </w:r>
      <w:r w:rsidR="00081C31" w:rsidRPr="006412ED">
        <w:rPr>
          <w:rFonts w:ascii="Times New Roman" w:hAnsi="Times New Roman" w:cs="Times New Roman"/>
          <w:sz w:val="24"/>
          <w:szCs w:val="24"/>
          <w:shd w:val="clear" w:color="auto" w:fill="FFFFFF"/>
        </w:rPr>
        <w:t>as being</w:t>
      </w:r>
      <w:r w:rsidR="007D7A0E" w:rsidRPr="006412ED">
        <w:rPr>
          <w:rFonts w:ascii="Times New Roman" w:hAnsi="Times New Roman" w:cs="Times New Roman"/>
          <w:sz w:val="24"/>
          <w:szCs w:val="24"/>
          <w:shd w:val="clear" w:color="auto" w:fill="FFFFFF"/>
        </w:rPr>
        <w:t xml:space="preserve"> metaphorically in the way, in that they represent or are at least perceived to represent</w:t>
      </w:r>
      <w:r w:rsidR="00081C31" w:rsidRPr="006412ED">
        <w:rPr>
          <w:rFonts w:ascii="Times New Roman" w:hAnsi="Times New Roman" w:cs="Times New Roman"/>
          <w:sz w:val="24"/>
          <w:szCs w:val="24"/>
          <w:shd w:val="clear" w:color="auto" w:fill="FFFFFF"/>
        </w:rPr>
        <w:t xml:space="preserve"> recalcitrant “backwardness”-the opposite of modernity.</w:t>
      </w:r>
      <w:r w:rsidR="004D36CC" w:rsidRPr="006412ED">
        <w:rPr>
          <w:rFonts w:ascii="Times New Roman" w:hAnsi="Times New Roman" w:cs="Times New Roman"/>
          <w:sz w:val="24"/>
          <w:szCs w:val="24"/>
          <w:shd w:val="clear" w:color="auto" w:fill="FFFFFF"/>
        </w:rPr>
        <w:t xml:space="preserve"> </w:t>
      </w:r>
      <w:r w:rsidR="00081C31" w:rsidRPr="006412ED">
        <w:rPr>
          <w:rFonts w:ascii="Times New Roman" w:hAnsi="Times New Roman" w:cs="Times New Roman"/>
          <w:sz w:val="24"/>
          <w:szCs w:val="24"/>
          <w:shd w:val="clear" w:color="auto" w:fill="FFFFFF"/>
        </w:rPr>
        <w:t>And</w:t>
      </w:r>
      <w:r w:rsidR="007D7A0E" w:rsidRPr="006412ED">
        <w:rPr>
          <w:rFonts w:ascii="Times New Roman" w:hAnsi="Times New Roman" w:cs="Times New Roman"/>
          <w:sz w:val="24"/>
          <w:szCs w:val="24"/>
          <w:shd w:val="clear" w:color="auto" w:fill="FFFFFF"/>
        </w:rPr>
        <w:t>, as they often live on resource rich land, they are quite literally in the way</w:t>
      </w:r>
      <w:r w:rsidR="004D36CC" w:rsidRPr="006412ED">
        <w:rPr>
          <w:rFonts w:ascii="Times New Roman" w:hAnsi="Times New Roman" w:cs="Times New Roman"/>
          <w:sz w:val="24"/>
          <w:szCs w:val="24"/>
          <w:shd w:val="clear" w:color="auto" w:fill="FFFFFF"/>
        </w:rPr>
        <w:t xml:space="preserve"> of</w:t>
      </w:r>
      <w:r w:rsidR="00081C31" w:rsidRPr="006412ED">
        <w:rPr>
          <w:rFonts w:ascii="Times New Roman" w:hAnsi="Times New Roman" w:cs="Times New Roman"/>
          <w:sz w:val="24"/>
          <w:szCs w:val="24"/>
          <w:shd w:val="clear" w:color="auto" w:fill="FFFFFF"/>
        </w:rPr>
        <w:t xml:space="preserve"> economic</w:t>
      </w:r>
      <w:r w:rsidR="004D36CC" w:rsidRPr="006412ED">
        <w:rPr>
          <w:rFonts w:ascii="Times New Roman" w:hAnsi="Times New Roman" w:cs="Times New Roman"/>
          <w:sz w:val="24"/>
          <w:szCs w:val="24"/>
          <w:shd w:val="clear" w:color="auto" w:fill="FFFFFF"/>
        </w:rPr>
        <w:t xml:space="preserve"> </w:t>
      </w:r>
      <w:r w:rsidR="00AF3144" w:rsidRPr="006412ED">
        <w:rPr>
          <w:rFonts w:ascii="Times New Roman" w:hAnsi="Times New Roman" w:cs="Times New Roman"/>
          <w:sz w:val="24"/>
          <w:szCs w:val="24"/>
          <w:shd w:val="clear" w:color="auto" w:fill="FFFFFF"/>
        </w:rPr>
        <w:t>development also</w:t>
      </w:r>
      <w:r w:rsidR="007D7A0E" w:rsidRPr="006412ED">
        <w:rPr>
          <w:rFonts w:ascii="Times New Roman" w:hAnsi="Times New Roman" w:cs="Times New Roman"/>
          <w:sz w:val="24"/>
          <w:szCs w:val="24"/>
          <w:shd w:val="clear" w:color="auto" w:fill="FFFFFF"/>
        </w:rPr>
        <w:t>. If a large hydro-electric dam is deemed to be in the national interest, as is</w:t>
      </w:r>
      <w:r w:rsidR="004D36CC" w:rsidRPr="006412ED">
        <w:rPr>
          <w:rFonts w:ascii="Times New Roman" w:hAnsi="Times New Roman" w:cs="Times New Roman"/>
          <w:sz w:val="24"/>
          <w:szCs w:val="24"/>
          <w:shd w:val="clear" w:color="auto" w:fill="FFFFFF"/>
        </w:rPr>
        <w:t xml:space="preserve"> the case currently in Ethiopia where thousands of indigenous nomadic peoples are in danger of losing their livelihoods due to an</w:t>
      </w:r>
      <w:r w:rsidR="00081C31" w:rsidRPr="006412ED">
        <w:rPr>
          <w:rFonts w:ascii="Times New Roman" w:hAnsi="Times New Roman" w:cs="Times New Roman"/>
          <w:sz w:val="24"/>
          <w:szCs w:val="24"/>
          <w:shd w:val="clear" w:color="auto" w:fill="FFFFFF"/>
        </w:rPr>
        <w:t xml:space="preserve"> especially</w:t>
      </w:r>
      <w:r w:rsidR="004D36CC" w:rsidRPr="006412ED">
        <w:rPr>
          <w:rFonts w:ascii="Times New Roman" w:hAnsi="Times New Roman" w:cs="Times New Roman"/>
          <w:sz w:val="24"/>
          <w:szCs w:val="24"/>
          <w:shd w:val="clear" w:color="auto" w:fill="FFFFFF"/>
        </w:rPr>
        <w:t xml:space="preserve"> violent displacement process,</w:t>
      </w:r>
      <w:r w:rsidR="004D36CC" w:rsidRPr="006412ED">
        <w:rPr>
          <w:rStyle w:val="FootnoteReference"/>
          <w:rFonts w:ascii="Times New Roman" w:hAnsi="Times New Roman" w:cs="Times New Roman"/>
          <w:sz w:val="24"/>
          <w:szCs w:val="24"/>
          <w:shd w:val="clear" w:color="auto" w:fill="FFFFFF"/>
        </w:rPr>
        <w:footnoteReference w:id="201"/>
      </w:r>
      <w:r w:rsidR="004D36CC" w:rsidRPr="006412ED">
        <w:rPr>
          <w:rFonts w:ascii="Times New Roman" w:hAnsi="Times New Roman" w:cs="Times New Roman"/>
          <w:sz w:val="24"/>
          <w:szCs w:val="24"/>
          <w:shd w:val="clear" w:color="auto" w:fill="FFFFFF"/>
        </w:rPr>
        <w:t xml:space="preserve"> then the potential for human rights violations all too readily becomes an actual lived experience, with tragic results not only for the peoples</w:t>
      </w:r>
      <w:r w:rsidR="00AB58EC" w:rsidRPr="006412ED">
        <w:rPr>
          <w:rFonts w:ascii="Times New Roman" w:hAnsi="Times New Roman" w:cs="Times New Roman"/>
          <w:sz w:val="24"/>
          <w:szCs w:val="24"/>
          <w:shd w:val="clear" w:color="auto" w:fill="FFFFFF"/>
        </w:rPr>
        <w:t xml:space="preserve"> in question</w:t>
      </w:r>
      <w:r w:rsidR="004D36CC" w:rsidRPr="006412ED">
        <w:rPr>
          <w:rFonts w:ascii="Times New Roman" w:hAnsi="Times New Roman" w:cs="Times New Roman"/>
          <w:sz w:val="24"/>
          <w:szCs w:val="24"/>
          <w:shd w:val="clear" w:color="auto" w:fill="FFFFFF"/>
        </w:rPr>
        <w:t xml:space="preserve"> themselves but also</w:t>
      </w:r>
      <w:r w:rsidR="00AB58EC" w:rsidRPr="006412ED">
        <w:rPr>
          <w:rFonts w:ascii="Times New Roman" w:hAnsi="Times New Roman" w:cs="Times New Roman"/>
          <w:sz w:val="24"/>
          <w:szCs w:val="24"/>
          <w:shd w:val="clear" w:color="auto" w:fill="FFFFFF"/>
        </w:rPr>
        <w:t xml:space="preserve">, increasingly, </w:t>
      </w:r>
      <w:r w:rsidR="004D36CC" w:rsidRPr="006412ED">
        <w:rPr>
          <w:rFonts w:ascii="Times New Roman" w:hAnsi="Times New Roman" w:cs="Times New Roman"/>
          <w:sz w:val="24"/>
          <w:szCs w:val="24"/>
          <w:shd w:val="clear" w:color="auto" w:fill="FFFFFF"/>
        </w:rPr>
        <w:t xml:space="preserve"> for the cultural</w:t>
      </w:r>
      <w:r w:rsidR="00AB58EC" w:rsidRPr="006412ED">
        <w:rPr>
          <w:rFonts w:ascii="Times New Roman" w:hAnsi="Times New Roman" w:cs="Times New Roman"/>
          <w:sz w:val="24"/>
          <w:szCs w:val="24"/>
          <w:shd w:val="clear" w:color="auto" w:fill="FFFFFF"/>
        </w:rPr>
        <w:t xml:space="preserve"> diversity</w:t>
      </w:r>
      <w:r w:rsidR="004D36CC" w:rsidRPr="006412ED">
        <w:rPr>
          <w:rFonts w:ascii="Times New Roman" w:hAnsi="Times New Roman" w:cs="Times New Roman"/>
          <w:sz w:val="24"/>
          <w:szCs w:val="24"/>
          <w:shd w:val="clear" w:color="auto" w:fill="FFFFFF"/>
        </w:rPr>
        <w:t xml:space="preserve"> </w:t>
      </w:r>
      <w:r w:rsidR="00AB58EC" w:rsidRPr="006412ED">
        <w:rPr>
          <w:rFonts w:ascii="Times New Roman" w:hAnsi="Times New Roman" w:cs="Times New Roman"/>
          <w:sz w:val="24"/>
          <w:szCs w:val="24"/>
          <w:shd w:val="clear" w:color="auto" w:fill="FFFFFF"/>
        </w:rPr>
        <w:t xml:space="preserve">and </w:t>
      </w:r>
      <w:r w:rsidR="004D36CC" w:rsidRPr="006412ED">
        <w:rPr>
          <w:rFonts w:ascii="Times New Roman" w:hAnsi="Times New Roman" w:cs="Times New Roman"/>
          <w:sz w:val="24"/>
          <w:szCs w:val="24"/>
          <w:shd w:val="clear" w:color="auto" w:fill="FFFFFF"/>
        </w:rPr>
        <w:t>biological diversity of</w:t>
      </w:r>
      <w:r w:rsidR="00E64BA9" w:rsidRPr="006412ED">
        <w:rPr>
          <w:rFonts w:ascii="Times New Roman" w:hAnsi="Times New Roman" w:cs="Times New Roman"/>
          <w:sz w:val="24"/>
          <w:szCs w:val="24"/>
          <w:shd w:val="clear" w:color="auto" w:fill="FFFFFF"/>
        </w:rPr>
        <w:t xml:space="preserve"> </w:t>
      </w:r>
      <w:r w:rsidR="004D36CC" w:rsidRPr="006412ED">
        <w:rPr>
          <w:rFonts w:ascii="Times New Roman" w:hAnsi="Times New Roman" w:cs="Times New Roman"/>
          <w:sz w:val="24"/>
          <w:szCs w:val="24"/>
          <w:shd w:val="clear" w:color="auto" w:fill="FFFFFF"/>
        </w:rPr>
        <w:t>the world.</w:t>
      </w:r>
      <w:r w:rsidR="004D36CC" w:rsidRPr="006412ED">
        <w:rPr>
          <w:rStyle w:val="FootnoteReference"/>
          <w:rFonts w:ascii="Times New Roman" w:hAnsi="Times New Roman" w:cs="Times New Roman"/>
          <w:sz w:val="24"/>
          <w:szCs w:val="24"/>
          <w:shd w:val="clear" w:color="auto" w:fill="FFFFFF"/>
        </w:rPr>
        <w:footnoteReference w:id="202"/>
      </w:r>
      <w:r w:rsidR="004D36CC" w:rsidRPr="006412ED">
        <w:rPr>
          <w:rFonts w:ascii="Times New Roman" w:hAnsi="Times New Roman" w:cs="Times New Roman"/>
          <w:sz w:val="24"/>
          <w:szCs w:val="24"/>
          <w:shd w:val="clear" w:color="auto" w:fill="FFFFFF"/>
        </w:rPr>
        <w:t xml:space="preserve"> </w:t>
      </w:r>
      <w:r w:rsidR="007D7A0E" w:rsidRPr="006412ED">
        <w:rPr>
          <w:rFonts w:ascii="Times New Roman" w:hAnsi="Times New Roman" w:cs="Times New Roman"/>
          <w:sz w:val="24"/>
          <w:szCs w:val="24"/>
          <w:shd w:val="clear" w:color="auto" w:fill="FFFFFF"/>
        </w:rPr>
        <w:t xml:space="preserve"> </w:t>
      </w:r>
      <w:r w:rsidR="004D36CC" w:rsidRPr="006412ED">
        <w:rPr>
          <w:rFonts w:ascii="Times New Roman" w:hAnsi="Times New Roman" w:cs="Times New Roman"/>
          <w:sz w:val="24"/>
          <w:szCs w:val="24"/>
          <w:shd w:val="clear" w:color="auto" w:fill="FFFFFF"/>
        </w:rPr>
        <w:t>As a response to such violations</w:t>
      </w:r>
      <w:r w:rsidR="007A39AA" w:rsidRPr="006412ED">
        <w:rPr>
          <w:rFonts w:ascii="Times New Roman" w:hAnsi="Times New Roman" w:cs="Times New Roman"/>
          <w:sz w:val="24"/>
          <w:szCs w:val="24"/>
          <w:shd w:val="clear" w:color="auto" w:fill="FFFFFF"/>
        </w:rPr>
        <w:t xml:space="preserve"> by states</w:t>
      </w:r>
      <w:r w:rsidR="00DE321F" w:rsidRPr="006412ED">
        <w:rPr>
          <w:rFonts w:ascii="Times New Roman" w:hAnsi="Times New Roman" w:cs="Times New Roman"/>
          <w:i/>
          <w:sz w:val="24"/>
          <w:szCs w:val="24"/>
          <w:shd w:val="clear" w:color="auto" w:fill="FFFFFF"/>
        </w:rPr>
        <w:t>,</w:t>
      </w:r>
      <w:r w:rsidR="00DE321F" w:rsidRPr="006412ED">
        <w:rPr>
          <w:rFonts w:ascii="Times New Roman" w:hAnsi="Times New Roman" w:cs="Times New Roman"/>
          <w:sz w:val="24"/>
          <w:szCs w:val="24"/>
          <w:shd w:val="clear" w:color="auto" w:fill="FFFFFF"/>
        </w:rPr>
        <w:t xml:space="preserve"> international</w:t>
      </w:r>
      <w:r w:rsidR="00AB58EC" w:rsidRPr="006412ED">
        <w:rPr>
          <w:rFonts w:ascii="Times New Roman" w:hAnsi="Times New Roman" w:cs="Times New Roman"/>
          <w:sz w:val="24"/>
          <w:szCs w:val="24"/>
          <w:shd w:val="clear" w:color="auto" w:fill="FFFFFF"/>
        </w:rPr>
        <w:t xml:space="preserve"> </w:t>
      </w:r>
      <w:r w:rsidR="00FF3D4A" w:rsidRPr="006412ED">
        <w:rPr>
          <w:rFonts w:ascii="Times New Roman" w:hAnsi="Times New Roman" w:cs="Times New Roman"/>
          <w:sz w:val="24"/>
          <w:szCs w:val="24"/>
          <w:shd w:val="clear" w:color="auto" w:fill="FFFFFF"/>
        </w:rPr>
        <w:t>human</w:t>
      </w:r>
      <w:r w:rsidR="00C63BCF" w:rsidRPr="006412ED">
        <w:rPr>
          <w:rFonts w:ascii="Times New Roman" w:hAnsi="Times New Roman" w:cs="Times New Roman"/>
          <w:sz w:val="24"/>
          <w:szCs w:val="24"/>
          <w:shd w:val="clear" w:color="auto" w:fill="FFFFFF"/>
        </w:rPr>
        <w:t xml:space="preserve"> rights</w:t>
      </w:r>
      <w:r w:rsidR="00DE321F" w:rsidRPr="006412ED">
        <w:rPr>
          <w:rFonts w:ascii="Times New Roman" w:hAnsi="Times New Roman" w:cs="Times New Roman"/>
          <w:sz w:val="24"/>
          <w:szCs w:val="24"/>
          <w:shd w:val="clear" w:color="auto" w:fill="FFFFFF"/>
        </w:rPr>
        <w:t xml:space="preserve"> law imposes</w:t>
      </w:r>
      <w:r w:rsidR="007A39AA" w:rsidRPr="006412ED">
        <w:rPr>
          <w:rFonts w:ascii="Times New Roman" w:hAnsi="Times New Roman" w:cs="Times New Roman"/>
          <w:sz w:val="24"/>
          <w:szCs w:val="24"/>
          <w:shd w:val="clear" w:color="auto" w:fill="FFFFFF"/>
        </w:rPr>
        <w:t xml:space="preserve"> a range of</w:t>
      </w:r>
      <w:r w:rsidR="00DE321F" w:rsidRPr="006412ED">
        <w:rPr>
          <w:rFonts w:ascii="Times New Roman" w:hAnsi="Times New Roman" w:cs="Times New Roman"/>
          <w:sz w:val="24"/>
          <w:szCs w:val="24"/>
          <w:shd w:val="clear" w:color="auto" w:fill="FFFFFF"/>
        </w:rPr>
        <w:t xml:space="preserve"> both positive and negative duties on states to respect, protect, and fulfil their </w:t>
      </w:r>
      <w:r w:rsidR="00F05A43" w:rsidRPr="006412ED">
        <w:rPr>
          <w:rFonts w:ascii="Times New Roman" w:hAnsi="Times New Roman" w:cs="Times New Roman"/>
          <w:sz w:val="24"/>
          <w:szCs w:val="24"/>
          <w:shd w:val="clear" w:color="auto" w:fill="FFFFFF"/>
        </w:rPr>
        <w:t>hu</w:t>
      </w:r>
      <w:r w:rsidR="00415CF8" w:rsidRPr="006412ED">
        <w:rPr>
          <w:rFonts w:ascii="Times New Roman" w:hAnsi="Times New Roman" w:cs="Times New Roman"/>
          <w:sz w:val="24"/>
          <w:szCs w:val="24"/>
          <w:shd w:val="clear" w:color="auto" w:fill="FFFFFF"/>
        </w:rPr>
        <w:t xml:space="preserve">man rights </w:t>
      </w:r>
      <w:r w:rsidR="00DE321F" w:rsidRPr="006412ED">
        <w:rPr>
          <w:rFonts w:ascii="Times New Roman" w:hAnsi="Times New Roman" w:cs="Times New Roman"/>
          <w:sz w:val="24"/>
          <w:szCs w:val="24"/>
          <w:shd w:val="clear" w:color="auto" w:fill="FFFFFF"/>
        </w:rPr>
        <w:t>obligations to indigenous peoples before, during and after the development process.</w:t>
      </w:r>
      <w:r w:rsidR="00F05A43" w:rsidRPr="006412ED">
        <w:rPr>
          <w:rStyle w:val="FootnoteReference"/>
          <w:rFonts w:ascii="Times New Roman" w:hAnsi="Times New Roman" w:cs="Times New Roman"/>
          <w:sz w:val="24"/>
          <w:szCs w:val="24"/>
          <w:shd w:val="clear" w:color="auto" w:fill="FFFFFF"/>
        </w:rPr>
        <w:footnoteReference w:id="203"/>
      </w:r>
      <w:r w:rsidR="00DE321F" w:rsidRPr="006412ED">
        <w:rPr>
          <w:rFonts w:ascii="Times New Roman" w:hAnsi="Times New Roman" w:cs="Times New Roman"/>
          <w:sz w:val="24"/>
          <w:szCs w:val="24"/>
          <w:shd w:val="clear" w:color="auto" w:fill="FFFFFF"/>
        </w:rPr>
        <w:t xml:space="preserve"> </w:t>
      </w:r>
      <w:r w:rsidR="00AA7B47" w:rsidRPr="006412ED">
        <w:rPr>
          <w:rFonts w:ascii="Times New Roman" w:hAnsi="Times New Roman" w:cs="Times New Roman"/>
          <w:sz w:val="24"/>
          <w:szCs w:val="24"/>
          <w:shd w:val="clear" w:color="auto" w:fill="FFFFFF"/>
        </w:rPr>
        <w:t>The characte</w:t>
      </w:r>
      <w:r w:rsidR="00AB58EC" w:rsidRPr="006412ED">
        <w:rPr>
          <w:rFonts w:ascii="Times New Roman" w:hAnsi="Times New Roman" w:cs="Times New Roman"/>
          <w:sz w:val="24"/>
          <w:szCs w:val="24"/>
          <w:shd w:val="clear" w:color="auto" w:fill="FFFFFF"/>
        </w:rPr>
        <w:t>r of these duties is mostly of</w:t>
      </w:r>
      <w:r w:rsidR="00AA7B47" w:rsidRPr="006412ED">
        <w:rPr>
          <w:rFonts w:ascii="Times New Roman" w:hAnsi="Times New Roman" w:cs="Times New Roman"/>
          <w:sz w:val="24"/>
          <w:szCs w:val="24"/>
          <w:shd w:val="clear" w:color="auto" w:fill="FFFFFF"/>
        </w:rPr>
        <w:t xml:space="preserve"> a non-binding nature</w:t>
      </w:r>
      <w:r w:rsidR="00AB58EC" w:rsidRPr="006412ED">
        <w:rPr>
          <w:rFonts w:ascii="Times New Roman" w:hAnsi="Times New Roman" w:cs="Times New Roman"/>
          <w:sz w:val="24"/>
          <w:szCs w:val="24"/>
          <w:shd w:val="clear" w:color="auto" w:fill="FFFFFF"/>
        </w:rPr>
        <w:t>, as in the UNDRIP provisions, or, they are</w:t>
      </w:r>
      <w:r w:rsidR="00AA7B47" w:rsidRPr="006412ED">
        <w:rPr>
          <w:rFonts w:ascii="Times New Roman" w:hAnsi="Times New Roman" w:cs="Times New Roman"/>
          <w:sz w:val="24"/>
          <w:szCs w:val="24"/>
          <w:shd w:val="clear" w:color="auto" w:fill="FFFFFF"/>
        </w:rPr>
        <w:t xml:space="preserve"> indirectly applicable, such as the</w:t>
      </w:r>
      <w:r w:rsidR="00E85840" w:rsidRPr="006412ED">
        <w:rPr>
          <w:rFonts w:ascii="Times New Roman" w:hAnsi="Times New Roman" w:cs="Times New Roman"/>
          <w:sz w:val="24"/>
          <w:szCs w:val="24"/>
          <w:shd w:val="clear" w:color="auto" w:fill="FFFFFF"/>
        </w:rPr>
        <w:t xml:space="preserve"> binding</w:t>
      </w:r>
      <w:r w:rsidR="00AA7B47" w:rsidRPr="006412ED">
        <w:rPr>
          <w:rFonts w:ascii="Times New Roman" w:hAnsi="Times New Roman" w:cs="Times New Roman"/>
          <w:sz w:val="24"/>
          <w:szCs w:val="24"/>
          <w:shd w:val="clear" w:color="auto" w:fill="FFFFFF"/>
        </w:rPr>
        <w:t xml:space="preserve"> obligations and duties imposed</w:t>
      </w:r>
      <w:r w:rsidR="00E64BA9" w:rsidRPr="006412ED">
        <w:rPr>
          <w:rFonts w:ascii="Times New Roman" w:hAnsi="Times New Roman" w:cs="Times New Roman"/>
          <w:sz w:val="24"/>
          <w:szCs w:val="24"/>
          <w:shd w:val="clear" w:color="auto" w:fill="FFFFFF"/>
        </w:rPr>
        <w:t xml:space="preserve"> on states</w:t>
      </w:r>
      <w:r w:rsidR="00AA7B47" w:rsidRPr="006412ED">
        <w:rPr>
          <w:rFonts w:ascii="Times New Roman" w:hAnsi="Times New Roman" w:cs="Times New Roman"/>
          <w:sz w:val="24"/>
          <w:szCs w:val="24"/>
          <w:shd w:val="clear" w:color="auto" w:fill="FFFFFF"/>
        </w:rPr>
        <w:t xml:space="preserve"> by article 27</w:t>
      </w:r>
      <w:r w:rsidR="00AB58EC" w:rsidRPr="006412ED">
        <w:rPr>
          <w:rFonts w:ascii="Times New Roman" w:hAnsi="Times New Roman" w:cs="Times New Roman"/>
          <w:sz w:val="24"/>
          <w:szCs w:val="24"/>
          <w:shd w:val="clear" w:color="auto" w:fill="FFFFFF"/>
        </w:rPr>
        <w:t xml:space="preserve"> (minority rights)</w:t>
      </w:r>
      <w:r w:rsidR="00AA7B47" w:rsidRPr="006412ED">
        <w:rPr>
          <w:rFonts w:ascii="Times New Roman" w:hAnsi="Times New Roman" w:cs="Times New Roman"/>
          <w:sz w:val="24"/>
          <w:szCs w:val="24"/>
          <w:shd w:val="clear" w:color="auto" w:fill="FFFFFF"/>
        </w:rPr>
        <w:t xml:space="preserve"> of the ICCPR. “Direct” international</w:t>
      </w:r>
      <w:r w:rsidR="001E2142" w:rsidRPr="006412ED">
        <w:rPr>
          <w:rFonts w:ascii="Times New Roman" w:hAnsi="Times New Roman" w:cs="Times New Roman"/>
          <w:sz w:val="24"/>
          <w:szCs w:val="24"/>
          <w:shd w:val="clear" w:color="auto" w:fill="FFFFFF"/>
        </w:rPr>
        <w:t xml:space="preserve"> binding instruments</w:t>
      </w:r>
      <w:r w:rsidR="00AA7B47" w:rsidRPr="006412ED">
        <w:rPr>
          <w:rFonts w:ascii="Times New Roman" w:hAnsi="Times New Roman" w:cs="Times New Roman"/>
          <w:sz w:val="24"/>
          <w:szCs w:val="24"/>
          <w:shd w:val="clear" w:color="auto" w:fill="FFFFFF"/>
        </w:rPr>
        <w:t>, such as ILO 169 and the Kampala Convention,</w:t>
      </w:r>
      <w:r w:rsidR="001E2142" w:rsidRPr="006412ED">
        <w:rPr>
          <w:rFonts w:ascii="Times New Roman" w:hAnsi="Times New Roman" w:cs="Times New Roman"/>
          <w:sz w:val="24"/>
          <w:szCs w:val="24"/>
          <w:shd w:val="clear" w:color="auto" w:fill="FFFFFF"/>
        </w:rPr>
        <w:t xml:space="preserve"> impose</w:t>
      </w:r>
      <w:r w:rsidR="00AA7B47" w:rsidRPr="006412ED">
        <w:rPr>
          <w:rFonts w:ascii="Times New Roman" w:hAnsi="Times New Roman" w:cs="Times New Roman"/>
          <w:sz w:val="24"/>
          <w:szCs w:val="24"/>
          <w:shd w:val="clear" w:color="auto" w:fill="FFFFFF"/>
        </w:rPr>
        <w:t xml:space="preserve"> both</w:t>
      </w:r>
      <w:r w:rsidR="001E2142" w:rsidRPr="006412ED">
        <w:rPr>
          <w:rFonts w:ascii="Times New Roman" w:hAnsi="Times New Roman" w:cs="Times New Roman"/>
          <w:sz w:val="24"/>
          <w:szCs w:val="24"/>
          <w:shd w:val="clear" w:color="auto" w:fill="FFFFFF"/>
        </w:rPr>
        <w:t xml:space="preserve"> substantive and procedural obligations</w:t>
      </w:r>
      <w:r w:rsidR="00E85840" w:rsidRPr="006412ED">
        <w:rPr>
          <w:rFonts w:ascii="Times New Roman" w:hAnsi="Times New Roman" w:cs="Times New Roman"/>
          <w:sz w:val="24"/>
          <w:szCs w:val="24"/>
          <w:shd w:val="clear" w:color="auto" w:fill="FFFFFF"/>
        </w:rPr>
        <w:t xml:space="preserve"> on states;</w:t>
      </w:r>
      <w:r w:rsidR="00E64BA9" w:rsidRPr="006412ED">
        <w:rPr>
          <w:rFonts w:ascii="Times New Roman" w:hAnsi="Times New Roman" w:cs="Times New Roman"/>
          <w:sz w:val="24"/>
          <w:szCs w:val="24"/>
          <w:shd w:val="clear" w:color="auto" w:fill="FFFFFF"/>
        </w:rPr>
        <w:t xml:space="preserve"> such as article 16 of ILO 169 which imposes a substantive if qualified duty on the state not to remove indigenous peoples from their lands</w:t>
      </w:r>
      <w:r w:rsidR="00E85840" w:rsidRPr="006412ED">
        <w:rPr>
          <w:rFonts w:ascii="Times New Roman" w:hAnsi="Times New Roman" w:cs="Times New Roman"/>
          <w:sz w:val="24"/>
          <w:szCs w:val="24"/>
          <w:shd w:val="clear" w:color="auto" w:fill="FFFFFF"/>
        </w:rPr>
        <w:t>,</w:t>
      </w:r>
      <w:r w:rsidR="00C24FD7" w:rsidRPr="006412ED">
        <w:rPr>
          <w:rStyle w:val="FootnoteReference"/>
          <w:rFonts w:ascii="Times New Roman" w:hAnsi="Times New Roman" w:cs="Times New Roman"/>
          <w:sz w:val="24"/>
          <w:szCs w:val="24"/>
          <w:shd w:val="clear" w:color="auto" w:fill="FFFFFF"/>
        </w:rPr>
        <w:footnoteReference w:id="204"/>
      </w:r>
      <w:r w:rsidR="00E85840" w:rsidRPr="006412ED">
        <w:rPr>
          <w:rFonts w:ascii="Times New Roman" w:hAnsi="Times New Roman" w:cs="Times New Roman"/>
          <w:sz w:val="24"/>
          <w:szCs w:val="24"/>
          <w:shd w:val="clear" w:color="auto" w:fill="FFFFFF"/>
        </w:rPr>
        <w:t xml:space="preserve"> and article 11 (4) of the Kampala Convention which creates an obligation on state parties to</w:t>
      </w:r>
      <w:r w:rsidR="006A02CF" w:rsidRPr="006412ED">
        <w:rPr>
          <w:rFonts w:ascii="Times New Roman" w:hAnsi="Times New Roman" w:cs="Times New Roman"/>
          <w:sz w:val="24"/>
          <w:szCs w:val="24"/>
          <w:shd w:val="clear" w:color="auto" w:fill="FFFFFF"/>
        </w:rPr>
        <w:t>, “establish appropriate mechanisms providing for simplified procedures where necessary, for resolving disputes relating to the property of internally displaced persons.”</w:t>
      </w:r>
      <w:r w:rsidR="006A02CF" w:rsidRPr="006412ED">
        <w:rPr>
          <w:rStyle w:val="FootnoteReference"/>
          <w:rFonts w:ascii="Times New Roman" w:hAnsi="Times New Roman" w:cs="Times New Roman"/>
          <w:sz w:val="24"/>
          <w:szCs w:val="24"/>
          <w:shd w:val="clear" w:color="auto" w:fill="FFFFFF"/>
        </w:rPr>
        <w:footnoteReference w:id="205"/>
      </w:r>
    </w:p>
    <w:p w:rsidR="003F7C2D" w:rsidRPr="006412ED" w:rsidRDefault="00DE321F" w:rsidP="00060EEC">
      <w:pPr>
        <w:spacing w:line="360" w:lineRule="auto"/>
        <w:ind w:firstLine="720"/>
        <w:rPr>
          <w:rFonts w:ascii="Times New Roman" w:hAnsi="Times New Roman" w:cs="Times New Roman"/>
          <w:sz w:val="24"/>
          <w:szCs w:val="24"/>
          <w:shd w:val="clear" w:color="auto" w:fill="FFFFFF"/>
        </w:rPr>
      </w:pPr>
      <w:r w:rsidRPr="006412ED">
        <w:rPr>
          <w:rFonts w:ascii="Times New Roman" w:hAnsi="Times New Roman" w:cs="Times New Roman"/>
          <w:sz w:val="24"/>
          <w:szCs w:val="24"/>
          <w:shd w:val="clear" w:color="auto" w:fill="FFFFFF"/>
        </w:rPr>
        <w:t xml:space="preserve">The final chapter </w:t>
      </w:r>
      <w:r w:rsidR="00AB58EC" w:rsidRPr="006412ED">
        <w:rPr>
          <w:rFonts w:ascii="Times New Roman" w:hAnsi="Times New Roman" w:cs="Times New Roman"/>
          <w:sz w:val="24"/>
          <w:szCs w:val="24"/>
          <w:shd w:val="clear" w:color="auto" w:fill="FFFFFF"/>
        </w:rPr>
        <w:t>now turns to assess</w:t>
      </w:r>
      <w:r w:rsidRPr="006412ED">
        <w:rPr>
          <w:rFonts w:ascii="Times New Roman" w:hAnsi="Times New Roman" w:cs="Times New Roman"/>
          <w:sz w:val="24"/>
          <w:szCs w:val="24"/>
          <w:shd w:val="clear" w:color="auto" w:fill="FFFFFF"/>
        </w:rPr>
        <w:t xml:space="preserve"> key cases </w:t>
      </w:r>
      <w:r w:rsidR="007A39AA" w:rsidRPr="006412ED">
        <w:rPr>
          <w:rFonts w:ascii="Times New Roman" w:hAnsi="Times New Roman" w:cs="Times New Roman"/>
          <w:sz w:val="24"/>
          <w:szCs w:val="24"/>
          <w:shd w:val="clear" w:color="auto" w:fill="FFFFFF"/>
        </w:rPr>
        <w:t xml:space="preserve">from the European court of Human Rights and in particular from the </w:t>
      </w:r>
      <w:r w:rsidR="007A39AA" w:rsidRPr="006412ED">
        <w:rPr>
          <w:rFonts w:ascii="Times New Roman" w:hAnsi="Times New Roman" w:cs="Times New Roman"/>
          <w:sz w:val="24"/>
          <w:szCs w:val="24"/>
        </w:rPr>
        <w:t>Inter-American Court of Human Rights</w:t>
      </w:r>
      <w:r w:rsidR="00DB653D" w:rsidRPr="006412ED">
        <w:rPr>
          <w:rFonts w:ascii="Times New Roman" w:hAnsi="Times New Roman" w:cs="Times New Roman"/>
          <w:sz w:val="24"/>
          <w:szCs w:val="24"/>
        </w:rPr>
        <w:t>, the</w:t>
      </w:r>
      <w:r w:rsidR="007A39AA" w:rsidRPr="006412ED">
        <w:rPr>
          <w:rFonts w:ascii="Times New Roman" w:hAnsi="Times New Roman" w:cs="Times New Roman"/>
          <w:sz w:val="24"/>
          <w:szCs w:val="24"/>
        </w:rPr>
        <w:t xml:space="preserve"> IA</w:t>
      </w:r>
      <w:r w:rsidR="00AB58EC" w:rsidRPr="006412ED">
        <w:rPr>
          <w:rFonts w:ascii="Times New Roman" w:hAnsi="Times New Roman" w:cs="Times New Roman"/>
          <w:sz w:val="24"/>
          <w:szCs w:val="24"/>
        </w:rPr>
        <w:t>C</w:t>
      </w:r>
      <w:r w:rsidR="007A39AA" w:rsidRPr="006412ED">
        <w:rPr>
          <w:rFonts w:ascii="Times New Roman" w:hAnsi="Times New Roman" w:cs="Times New Roman"/>
          <w:sz w:val="24"/>
          <w:szCs w:val="24"/>
        </w:rPr>
        <w:t xml:space="preserve">HR </w:t>
      </w:r>
      <w:r w:rsidR="00DB653D" w:rsidRPr="006412ED">
        <w:rPr>
          <w:rFonts w:ascii="Times New Roman" w:hAnsi="Times New Roman" w:cs="Times New Roman"/>
          <w:sz w:val="24"/>
          <w:szCs w:val="24"/>
        </w:rPr>
        <w:t xml:space="preserve">in particular </w:t>
      </w:r>
      <w:r w:rsidR="007A39AA" w:rsidRPr="006412ED">
        <w:rPr>
          <w:rFonts w:ascii="Times New Roman" w:hAnsi="Times New Roman" w:cs="Times New Roman"/>
          <w:sz w:val="24"/>
          <w:szCs w:val="24"/>
        </w:rPr>
        <w:t>has played a</w:t>
      </w:r>
      <w:r w:rsidR="00C63BCF" w:rsidRPr="006412ED">
        <w:rPr>
          <w:rFonts w:ascii="Times New Roman" w:hAnsi="Times New Roman" w:cs="Times New Roman"/>
          <w:sz w:val="24"/>
          <w:szCs w:val="24"/>
        </w:rPr>
        <w:t xml:space="preserve"> </w:t>
      </w:r>
      <w:r w:rsidR="007A39AA" w:rsidRPr="006412ED">
        <w:rPr>
          <w:rFonts w:ascii="Times New Roman" w:hAnsi="Times New Roman" w:cs="Times New Roman"/>
          <w:sz w:val="24"/>
          <w:szCs w:val="24"/>
        </w:rPr>
        <w:t>crucial role in the protection of indigenous rights</w:t>
      </w:r>
      <w:r w:rsidR="00C63BCF" w:rsidRPr="006412ED">
        <w:rPr>
          <w:rFonts w:ascii="Times New Roman" w:hAnsi="Times New Roman" w:cs="Times New Roman"/>
          <w:sz w:val="24"/>
          <w:szCs w:val="24"/>
        </w:rPr>
        <w:t xml:space="preserve">. </w:t>
      </w:r>
      <w:r w:rsidR="00AB58EC" w:rsidRPr="006412ED">
        <w:rPr>
          <w:rFonts w:ascii="Times New Roman" w:hAnsi="Times New Roman" w:cs="Times New Roman"/>
          <w:sz w:val="24"/>
          <w:szCs w:val="24"/>
          <w:shd w:val="clear" w:color="auto" w:fill="FFFFFF"/>
        </w:rPr>
        <w:t xml:space="preserve">The cases chosen do not constitute an exhaustive list, rather they have been chosen as indicative of jurisprudence </w:t>
      </w:r>
      <w:r w:rsidR="00DB653D" w:rsidRPr="006412ED">
        <w:rPr>
          <w:rFonts w:ascii="Times New Roman" w:hAnsi="Times New Roman" w:cs="Times New Roman"/>
          <w:sz w:val="24"/>
          <w:szCs w:val="24"/>
          <w:shd w:val="clear" w:color="auto" w:fill="FFFFFF"/>
        </w:rPr>
        <w:t>which</w:t>
      </w:r>
      <w:r w:rsidR="00AB58EC" w:rsidRPr="006412ED">
        <w:rPr>
          <w:rFonts w:ascii="Times New Roman" w:hAnsi="Times New Roman" w:cs="Times New Roman"/>
          <w:sz w:val="24"/>
          <w:szCs w:val="24"/>
          <w:shd w:val="clear" w:color="auto" w:fill="FFFFFF"/>
        </w:rPr>
        <w:t xml:space="preserve"> has engaged with displacement as a result of development</w:t>
      </w:r>
      <w:r w:rsidR="00DB653D" w:rsidRPr="006412ED">
        <w:rPr>
          <w:rFonts w:ascii="Times New Roman" w:hAnsi="Times New Roman" w:cs="Times New Roman"/>
          <w:sz w:val="24"/>
          <w:szCs w:val="24"/>
          <w:shd w:val="clear" w:color="auto" w:fill="FFFFFF"/>
        </w:rPr>
        <w:t>.</w:t>
      </w:r>
      <w:r w:rsidR="002A5666" w:rsidRPr="006412ED">
        <w:rPr>
          <w:rFonts w:ascii="Times New Roman" w:hAnsi="Times New Roman" w:cs="Times New Roman"/>
          <w:sz w:val="24"/>
          <w:szCs w:val="24"/>
        </w:rPr>
        <w:t xml:space="preserve"> Moreover, </w:t>
      </w:r>
      <w:r w:rsidR="00AF3144" w:rsidRPr="006412ED">
        <w:rPr>
          <w:rFonts w:ascii="Times New Roman" w:hAnsi="Times New Roman" w:cs="Times New Roman"/>
          <w:sz w:val="24"/>
          <w:szCs w:val="24"/>
        </w:rPr>
        <w:t>the jurisprudence chosen throws light on the obligations</w:t>
      </w:r>
      <w:r w:rsidR="002A5666" w:rsidRPr="006412ED">
        <w:rPr>
          <w:rFonts w:ascii="Times New Roman" w:hAnsi="Times New Roman" w:cs="Times New Roman"/>
          <w:sz w:val="24"/>
          <w:szCs w:val="24"/>
        </w:rPr>
        <w:t xml:space="preserve"> and responsibilities of states under international law to protect indigenous peoples, before, but also during and after development-induced displacement</w:t>
      </w:r>
      <w:r w:rsidR="006412ED">
        <w:rPr>
          <w:rFonts w:ascii="Times New Roman" w:hAnsi="Times New Roman" w:cs="Times New Roman"/>
          <w:sz w:val="24"/>
          <w:szCs w:val="24"/>
        </w:rPr>
        <w:t>.</w:t>
      </w:r>
    </w:p>
    <w:p w:rsidR="006A02CF" w:rsidRPr="003D7876" w:rsidRDefault="009D6EE2" w:rsidP="006412ED">
      <w:pPr>
        <w:pStyle w:val="Heading2"/>
        <w:spacing w:line="360" w:lineRule="auto"/>
        <w:rPr>
          <w:shd w:val="clear" w:color="auto" w:fill="FFFFFF"/>
        </w:rPr>
      </w:pPr>
      <w:bookmarkStart w:id="38" w:name="_Toc399848370"/>
      <w:r>
        <w:rPr>
          <w:shd w:val="clear" w:color="auto" w:fill="FFFFFF"/>
        </w:rPr>
        <w:t xml:space="preserve">6.2 </w:t>
      </w:r>
      <w:r w:rsidR="003D7876" w:rsidRPr="003D7876">
        <w:rPr>
          <w:shd w:val="clear" w:color="auto" w:fill="FFFFFF"/>
        </w:rPr>
        <w:t>Winterstein and others v France</w:t>
      </w:r>
      <w:bookmarkEnd w:id="38"/>
    </w:p>
    <w:p w:rsidR="007F472C" w:rsidRPr="006412ED" w:rsidRDefault="007F472C" w:rsidP="00060EEC">
      <w:pPr>
        <w:spacing w:line="360" w:lineRule="auto"/>
        <w:ind w:firstLine="720"/>
        <w:rPr>
          <w:rFonts w:ascii="Times New Roman" w:hAnsi="Times New Roman" w:cs="Times New Roman"/>
          <w:sz w:val="24"/>
          <w:szCs w:val="24"/>
          <w:shd w:val="clear" w:color="auto" w:fill="FFFFFF"/>
        </w:rPr>
      </w:pPr>
      <w:r w:rsidRPr="006412ED">
        <w:rPr>
          <w:rFonts w:ascii="Times New Roman" w:hAnsi="Times New Roman" w:cs="Times New Roman"/>
          <w:sz w:val="24"/>
          <w:szCs w:val="24"/>
          <w:shd w:val="clear" w:color="auto" w:fill="FFFFFF"/>
        </w:rPr>
        <w:t xml:space="preserve">In </w:t>
      </w:r>
      <w:r w:rsidRPr="006412ED">
        <w:rPr>
          <w:rFonts w:ascii="Times New Roman" w:hAnsi="Times New Roman" w:cs="Times New Roman"/>
          <w:i/>
          <w:sz w:val="24"/>
          <w:szCs w:val="24"/>
          <w:shd w:val="clear" w:color="auto" w:fill="FFFFFF"/>
        </w:rPr>
        <w:t>Winterstein and others v France</w:t>
      </w:r>
      <w:r w:rsidRPr="006412ED">
        <w:rPr>
          <w:rFonts w:ascii="Times New Roman" w:hAnsi="Times New Roman" w:cs="Times New Roman"/>
          <w:sz w:val="24"/>
          <w:szCs w:val="24"/>
          <w:shd w:val="clear" w:color="auto" w:fill="FFFFFF"/>
        </w:rPr>
        <w:t>,</w:t>
      </w:r>
      <w:r w:rsidRPr="006412ED">
        <w:rPr>
          <w:rStyle w:val="FootnoteReference"/>
          <w:rFonts w:ascii="Times New Roman" w:hAnsi="Times New Roman" w:cs="Times New Roman"/>
          <w:sz w:val="24"/>
          <w:szCs w:val="24"/>
          <w:shd w:val="clear" w:color="auto" w:fill="FFFFFF"/>
        </w:rPr>
        <w:footnoteReference w:id="206"/>
      </w:r>
      <w:r w:rsidRPr="006412ED">
        <w:rPr>
          <w:rFonts w:ascii="Times New Roman" w:hAnsi="Times New Roman" w:cs="Times New Roman"/>
          <w:sz w:val="24"/>
          <w:szCs w:val="24"/>
          <w:shd w:val="clear" w:color="auto" w:fill="FFFFFF"/>
        </w:rPr>
        <w:t xml:space="preserve"> a recent ruling by the European Court of Human</w:t>
      </w:r>
      <w:r w:rsidR="008D01BC" w:rsidRPr="006412ED">
        <w:rPr>
          <w:rFonts w:ascii="Times New Roman" w:hAnsi="Times New Roman" w:cs="Times New Roman"/>
          <w:sz w:val="24"/>
          <w:szCs w:val="24"/>
          <w:shd w:val="clear" w:color="auto" w:fill="FFFFFF"/>
        </w:rPr>
        <w:t xml:space="preserve"> Rights (here</w:t>
      </w:r>
      <w:r w:rsidRPr="006412ED">
        <w:rPr>
          <w:rFonts w:ascii="Times New Roman" w:hAnsi="Times New Roman" w:cs="Times New Roman"/>
          <w:sz w:val="24"/>
          <w:szCs w:val="24"/>
          <w:shd w:val="clear" w:color="auto" w:fill="FFFFFF"/>
        </w:rPr>
        <w:t xml:space="preserve">after ECtHR) concerning the eviction of a group of self-identified French travellers by a local municipal authority, </w:t>
      </w:r>
      <w:r w:rsidR="008D01BC" w:rsidRPr="006412ED">
        <w:rPr>
          <w:rFonts w:ascii="Times New Roman" w:hAnsi="Times New Roman" w:cs="Times New Roman"/>
          <w:sz w:val="24"/>
          <w:szCs w:val="24"/>
          <w:shd w:val="clear" w:color="auto" w:fill="FFFFFF"/>
        </w:rPr>
        <w:t xml:space="preserve">both </w:t>
      </w:r>
      <w:r w:rsidRPr="006412ED">
        <w:rPr>
          <w:rFonts w:ascii="Times New Roman" w:hAnsi="Times New Roman" w:cs="Times New Roman"/>
          <w:sz w:val="24"/>
          <w:szCs w:val="24"/>
          <w:shd w:val="clear" w:color="auto" w:fill="FFFFFF"/>
        </w:rPr>
        <w:t>the issue</w:t>
      </w:r>
      <w:r w:rsidR="008D01BC" w:rsidRPr="006412ED">
        <w:rPr>
          <w:rFonts w:ascii="Times New Roman" w:hAnsi="Times New Roman" w:cs="Times New Roman"/>
          <w:sz w:val="24"/>
          <w:szCs w:val="24"/>
          <w:shd w:val="clear" w:color="auto" w:fill="FFFFFF"/>
        </w:rPr>
        <w:t>s of customary ownership of property discussed in the previous chapter,</w:t>
      </w:r>
      <w:r w:rsidRPr="006412ED">
        <w:rPr>
          <w:rFonts w:ascii="Times New Roman" w:hAnsi="Times New Roman" w:cs="Times New Roman"/>
          <w:sz w:val="24"/>
          <w:szCs w:val="24"/>
          <w:shd w:val="clear" w:color="auto" w:fill="FFFFFF"/>
        </w:rPr>
        <w:t xml:space="preserve"> </w:t>
      </w:r>
      <w:r w:rsidR="008D01BC" w:rsidRPr="006412ED">
        <w:rPr>
          <w:rFonts w:ascii="Times New Roman" w:hAnsi="Times New Roman" w:cs="Times New Roman"/>
          <w:sz w:val="24"/>
          <w:szCs w:val="24"/>
          <w:shd w:val="clear" w:color="auto" w:fill="FFFFFF"/>
        </w:rPr>
        <w:t>and the issue of</w:t>
      </w:r>
      <w:r w:rsidRPr="006412ED">
        <w:rPr>
          <w:rFonts w:ascii="Times New Roman" w:hAnsi="Times New Roman" w:cs="Times New Roman"/>
          <w:sz w:val="24"/>
          <w:szCs w:val="24"/>
          <w:shd w:val="clear" w:color="auto" w:fill="FFFFFF"/>
        </w:rPr>
        <w:t xml:space="preserve"> proportionality</w:t>
      </w:r>
      <w:r w:rsidR="008D01BC" w:rsidRPr="006412ED">
        <w:rPr>
          <w:rFonts w:ascii="Times New Roman" w:hAnsi="Times New Roman" w:cs="Times New Roman"/>
          <w:sz w:val="24"/>
          <w:szCs w:val="24"/>
          <w:shd w:val="clear" w:color="auto" w:fill="FFFFFF"/>
        </w:rPr>
        <w:t xml:space="preserve"> discussed in </w:t>
      </w:r>
      <w:r w:rsidR="00E51CD9">
        <w:rPr>
          <w:rFonts w:ascii="Times New Roman" w:hAnsi="Times New Roman" w:cs="Times New Roman"/>
          <w:sz w:val="24"/>
          <w:szCs w:val="24"/>
          <w:shd w:val="clear" w:color="auto" w:fill="FFFFFF"/>
        </w:rPr>
        <w:t>section 5.2.2.</w:t>
      </w:r>
      <w:r w:rsidR="00DB653D" w:rsidRPr="006412ED">
        <w:rPr>
          <w:rFonts w:ascii="Times New Roman" w:hAnsi="Times New Roman" w:cs="Times New Roman"/>
          <w:sz w:val="24"/>
          <w:szCs w:val="24"/>
          <w:shd w:val="clear" w:color="auto" w:fill="FFFFFF"/>
        </w:rPr>
        <w:t xml:space="preserve"> are</w:t>
      </w:r>
      <w:r w:rsidR="008D01BC" w:rsidRPr="006412ED">
        <w:rPr>
          <w:rFonts w:ascii="Times New Roman" w:hAnsi="Times New Roman" w:cs="Times New Roman"/>
          <w:sz w:val="24"/>
          <w:szCs w:val="24"/>
          <w:shd w:val="clear" w:color="auto" w:fill="FFFFFF"/>
        </w:rPr>
        <w:t xml:space="preserve"> considered</w:t>
      </w:r>
      <w:r w:rsidRPr="006412ED">
        <w:rPr>
          <w:rFonts w:ascii="Times New Roman" w:hAnsi="Times New Roman" w:cs="Times New Roman"/>
          <w:sz w:val="24"/>
          <w:szCs w:val="24"/>
          <w:shd w:val="clear" w:color="auto" w:fill="FFFFFF"/>
        </w:rPr>
        <w:t xml:space="preserve"> in connection with Article 8 of the European Convention of Human Rights (right to respect for private and family life). </w:t>
      </w:r>
      <w:r w:rsidR="008D01BC" w:rsidRPr="006412ED">
        <w:rPr>
          <w:rFonts w:ascii="Times New Roman" w:hAnsi="Times New Roman" w:cs="Times New Roman"/>
          <w:sz w:val="24"/>
          <w:szCs w:val="24"/>
          <w:shd w:val="clear" w:color="auto" w:fill="FFFFFF"/>
        </w:rPr>
        <w:t>Both issues came into sharp focus when the</w:t>
      </w:r>
      <w:r w:rsidRPr="006412ED">
        <w:rPr>
          <w:rFonts w:ascii="Times New Roman" w:hAnsi="Times New Roman" w:cs="Times New Roman"/>
          <w:sz w:val="24"/>
          <w:szCs w:val="24"/>
          <w:shd w:val="clear" w:color="auto" w:fill="FFFFFF"/>
        </w:rPr>
        <w:t xml:space="preserve"> applicants alleged that there had been a violation of their rights in particular with reference to Article 8, and </w:t>
      </w:r>
      <w:r w:rsidR="00DB653D" w:rsidRPr="006412ED">
        <w:rPr>
          <w:rFonts w:ascii="Times New Roman" w:hAnsi="Times New Roman" w:cs="Times New Roman"/>
          <w:sz w:val="24"/>
          <w:szCs w:val="24"/>
          <w:shd w:val="clear" w:color="auto" w:fill="FFFFFF"/>
        </w:rPr>
        <w:t>as a result</w:t>
      </w:r>
      <w:r w:rsidRPr="006412ED">
        <w:rPr>
          <w:rFonts w:ascii="Times New Roman" w:hAnsi="Times New Roman" w:cs="Times New Roman"/>
          <w:sz w:val="24"/>
          <w:szCs w:val="24"/>
          <w:shd w:val="clear" w:color="auto" w:fill="FFFFFF"/>
        </w:rPr>
        <w:t xml:space="preserve"> </w:t>
      </w:r>
      <w:r w:rsidR="00DB653D" w:rsidRPr="006412ED">
        <w:rPr>
          <w:rFonts w:ascii="Times New Roman" w:hAnsi="Times New Roman" w:cs="Times New Roman"/>
          <w:sz w:val="24"/>
          <w:szCs w:val="24"/>
          <w:shd w:val="clear" w:color="auto" w:fill="FFFFFF"/>
        </w:rPr>
        <w:t xml:space="preserve">they claimed </w:t>
      </w:r>
      <w:r w:rsidRPr="006412ED">
        <w:rPr>
          <w:rFonts w:ascii="Times New Roman" w:hAnsi="Times New Roman" w:cs="Times New Roman"/>
          <w:sz w:val="24"/>
          <w:szCs w:val="24"/>
          <w:shd w:val="clear" w:color="auto" w:fill="FFFFFF"/>
        </w:rPr>
        <w:t>the eviction</w:t>
      </w:r>
      <w:r w:rsidR="00DB653D" w:rsidRPr="006412ED">
        <w:rPr>
          <w:rFonts w:ascii="Times New Roman" w:hAnsi="Times New Roman" w:cs="Times New Roman"/>
          <w:sz w:val="24"/>
          <w:szCs w:val="24"/>
          <w:shd w:val="clear" w:color="auto" w:fill="FFFFFF"/>
        </w:rPr>
        <w:t xml:space="preserve"> </w:t>
      </w:r>
      <w:r w:rsidRPr="006412ED">
        <w:rPr>
          <w:rFonts w:ascii="Times New Roman" w:hAnsi="Times New Roman" w:cs="Times New Roman"/>
          <w:sz w:val="24"/>
          <w:szCs w:val="24"/>
          <w:shd w:val="clear" w:color="auto" w:fill="FFFFFF"/>
        </w:rPr>
        <w:t>violated their right to respect for their private and family life, and their home.</w:t>
      </w:r>
      <w:r w:rsidRPr="006412ED">
        <w:rPr>
          <w:rStyle w:val="FootnoteReference"/>
          <w:rFonts w:ascii="Times New Roman" w:hAnsi="Times New Roman" w:cs="Times New Roman"/>
          <w:sz w:val="24"/>
          <w:szCs w:val="24"/>
          <w:shd w:val="clear" w:color="auto" w:fill="FFFFFF"/>
        </w:rPr>
        <w:footnoteReference w:id="207"/>
      </w:r>
      <w:r w:rsidRPr="006412ED">
        <w:rPr>
          <w:rFonts w:ascii="Times New Roman" w:hAnsi="Times New Roman" w:cs="Times New Roman"/>
          <w:sz w:val="24"/>
          <w:szCs w:val="24"/>
          <w:shd w:val="clear" w:color="auto" w:fill="FFFFFF"/>
        </w:rPr>
        <w:t xml:space="preserve"> Although the ECtHR case concerns a self-identified European semi-nomadic group who are not indigenous in the accepted sense</w:t>
      </w:r>
      <w:r w:rsidR="008D01BC" w:rsidRPr="006412ED">
        <w:rPr>
          <w:rFonts w:ascii="Times New Roman" w:hAnsi="Times New Roman" w:cs="Times New Roman"/>
          <w:sz w:val="24"/>
          <w:szCs w:val="24"/>
          <w:shd w:val="clear" w:color="auto" w:fill="FFFFFF"/>
        </w:rPr>
        <w:t xml:space="preserve"> as</w:t>
      </w:r>
      <w:r w:rsidRPr="006412ED">
        <w:rPr>
          <w:rFonts w:ascii="Times New Roman" w:hAnsi="Times New Roman" w:cs="Times New Roman"/>
          <w:sz w:val="24"/>
          <w:szCs w:val="24"/>
          <w:shd w:val="clear" w:color="auto" w:fill="FFFFFF"/>
        </w:rPr>
        <w:t xml:space="preserve"> </w:t>
      </w:r>
      <w:r w:rsidR="00DB653D" w:rsidRPr="006412ED">
        <w:rPr>
          <w:rFonts w:ascii="Times New Roman" w:hAnsi="Times New Roman" w:cs="Times New Roman"/>
          <w:sz w:val="24"/>
          <w:szCs w:val="24"/>
          <w:shd w:val="clear" w:color="auto" w:fill="FFFFFF"/>
        </w:rPr>
        <w:t>has been discussed</w:t>
      </w:r>
      <w:r w:rsidRPr="006412ED">
        <w:rPr>
          <w:rFonts w:ascii="Times New Roman" w:hAnsi="Times New Roman" w:cs="Times New Roman"/>
          <w:sz w:val="24"/>
          <w:szCs w:val="24"/>
          <w:shd w:val="clear" w:color="auto" w:fill="FFFFFF"/>
        </w:rPr>
        <w:t xml:space="preserve">, nevertheless, the ruling is of significance in that it augments international jurisprudence affecting indigenous peoples and the right not to be arbitrarily evicted by the state.   </w:t>
      </w:r>
      <w:r w:rsidR="00DB653D" w:rsidRPr="006412ED">
        <w:rPr>
          <w:rFonts w:ascii="Times New Roman" w:hAnsi="Times New Roman" w:cs="Times New Roman"/>
          <w:sz w:val="24"/>
          <w:szCs w:val="24"/>
          <w:shd w:val="clear" w:color="auto" w:fill="FFFFFF"/>
        </w:rPr>
        <w:t xml:space="preserve"> </w:t>
      </w:r>
    </w:p>
    <w:p w:rsidR="007F472C" w:rsidRPr="006412ED" w:rsidRDefault="007F472C" w:rsidP="00060EEC">
      <w:pPr>
        <w:spacing w:line="360" w:lineRule="auto"/>
        <w:ind w:firstLine="720"/>
        <w:rPr>
          <w:rFonts w:ascii="Times New Roman" w:hAnsi="Times New Roman" w:cs="Times New Roman"/>
          <w:sz w:val="24"/>
          <w:szCs w:val="24"/>
          <w:shd w:val="clear" w:color="auto" w:fill="FFFFFF"/>
        </w:rPr>
      </w:pPr>
      <w:r w:rsidRPr="006412ED">
        <w:rPr>
          <w:rFonts w:ascii="Times New Roman" w:hAnsi="Times New Roman" w:cs="Times New Roman"/>
          <w:sz w:val="24"/>
          <w:szCs w:val="24"/>
          <w:shd w:val="clear" w:color="auto" w:fill="FFFFFF"/>
        </w:rPr>
        <w:t>What is of interest in the case for the issues raised in this thesis, is that of the decision by French municipal authorities to bring civil proceedings in order to evict a group of travellers (26 families) because they argued that the land was being unlawfully occupied by them, despite the fact that the travellers’ had been on the land for many years, although they were without any legal title.</w:t>
      </w:r>
      <w:r w:rsidRPr="006412ED">
        <w:rPr>
          <w:rStyle w:val="FootnoteReference"/>
          <w:rFonts w:ascii="Times New Roman" w:hAnsi="Times New Roman" w:cs="Times New Roman"/>
          <w:sz w:val="24"/>
          <w:szCs w:val="24"/>
          <w:shd w:val="clear" w:color="auto" w:fill="FFFFFF"/>
        </w:rPr>
        <w:footnoteReference w:id="208"/>
      </w:r>
      <w:r w:rsidRPr="006412ED">
        <w:rPr>
          <w:rFonts w:ascii="Times New Roman" w:hAnsi="Times New Roman" w:cs="Times New Roman"/>
          <w:sz w:val="24"/>
          <w:szCs w:val="24"/>
          <w:shd w:val="clear" w:color="auto" w:fill="FFFFFF"/>
        </w:rPr>
        <w:t xml:space="preserve"> The local authorities said that most of the caravans on the land owned by the travellers were in breach of a land-use plan, and moreover, that “the</w:t>
      </w:r>
      <w:r w:rsidRPr="006412ED">
        <w:rPr>
          <w:rFonts w:ascii="Times New Roman" w:hAnsi="Times New Roman" w:cs="Times New Roman"/>
          <w:sz w:val="24"/>
          <w:szCs w:val="24"/>
        </w:rPr>
        <w:t xml:space="preserve"> plots of land in question were situated in an “area qualifying for protection on account of its natural beauty and character”.</w:t>
      </w:r>
      <w:r w:rsidRPr="006412ED">
        <w:rPr>
          <w:rStyle w:val="FootnoteReference"/>
          <w:rFonts w:ascii="Times New Roman" w:hAnsi="Times New Roman" w:cs="Times New Roman"/>
          <w:sz w:val="24"/>
          <w:szCs w:val="24"/>
        </w:rPr>
        <w:footnoteReference w:id="209"/>
      </w:r>
    </w:p>
    <w:p w:rsidR="007F472C" w:rsidRPr="006412ED" w:rsidRDefault="007F472C" w:rsidP="00060EEC">
      <w:pPr>
        <w:spacing w:line="360" w:lineRule="auto"/>
        <w:ind w:firstLine="720"/>
        <w:rPr>
          <w:rFonts w:ascii="Times New Roman" w:hAnsi="Times New Roman" w:cs="Times New Roman"/>
          <w:sz w:val="24"/>
          <w:szCs w:val="24"/>
          <w:shd w:val="clear" w:color="auto" w:fill="FFFFFF"/>
        </w:rPr>
      </w:pPr>
      <w:r w:rsidRPr="006412ED">
        <w:rPr>
          <w:rFonts w:ascii="Times New Roman" w:hAnsi="Times New Roman" w:cs="Times New Roman"/>
          <w:sz w:val="24"/>
          <w:szCs w:val="24"/>
          <w:shd w:val="clear" w:color="auto" w:fill="FFFFFF"/>
        </w:rPr>
        <w:t xml:space="preserve">The Court </w:t>
      </w:r>
      <w:r w:rsidR="00DB653D" w:rsidRPr="006412ED">
        <w:rPr>
          <w:rFonts w:ascii="Times New Roman" w:hAnsi="Times New Roman" w:cs="Times New Roman"/>
          <w:sz w:val="24"/>
          <w:szCs w:val="24"/>
          <w:shd w:val="clear" w:color="auto" w:fill="FFFFFF"/>
        </w:rPr>
        <w:t xml:space="preserve">found </w:t>
      </w:r>
      <w:r w:rsidRPr="006412ED">
        <w:rPr>
          <w:rFonts w:ascii="Times New Roman" w:hAnsi="Times New Roman" w:cs="Times New Roman"/>
          <w:sz w:val="24"/>
          <w:szCs w:val="24"/>
          <w:shd w:val="clear" w:color="auto" w:fill="FFFFFF"/>
        </w:rPr>
        <w:t xml:space="preserve">however that because the travellers had lived on the plot of land for at least thirty years, they had formed, as a result, sufficient links to their caravans to call them home. </w:t>
      </w:r>
      <w:r w:rsidR="002C1F4A" w:rsidRPr="006412ED">
        <w:rPr>
          <w:rFonts w:ascii="Times New Roman" w:hAnsi="Times New Roman" w:cs="Times New Roman"/>
          <w:sz w:val="24"/>
          <w:szCs w:val="24"/>
          <w:shd w:val="clear" w:color="auto" w:fill="FFFFFF"/>
        </w:rPr>
        <w:t>The Court held that w</w:t>
      </w:r>
      <w:r w:rsidRPr="006412ED">
        <w:rPr>
          <w:rFonts w:ascii="Times New Roman" w:hAnsi="Times New Roman" w:cs="Times New Roman"/>
          <w:sz w:val="24"/>
          <w:szCs w:val="24"/>
          <w:shd w:val="clear" w:color="auto" w:fill="FFFFFF"/>
        </w:rPr>
        <w:t xml:space="preserve">hether or not the occupation was lawful was irrelevant, </w:t>
      </w:r>
      <w:r w:rsidR="002C1F4A" w:rsidRPr="006412ED">
        <w:rPr>
          <w:rFonts w:ascii="Times New Roman" w:hAnsi="Times New Roman" w:cs="Times New Roman"/>
          <w:sz w:val="24"/>
          <w:szCs w:val="24"/>
          <w:shd w:val="clear" w:color="auto" w:fill="FFFFFF"/>
        </w:rPr>
        <w:t xml:space="preserve">it was sufficient </w:t>
      </w:r>
      <w:r w:rsidRPr="006412ED">
        <w:rPr>
          <w:rFonts w:ascii="Times New Roman" w:hAnsi="Times New Roman" w:cs="Times New Roman"/>
          <w:sz w:val="24"/>
          <w:szCs w:val="24"/>
          <w:shd w:val="clear" w:color="auto" w:fill="FFFFFF"/>
        </w:rPr>
        <w:t>that living in a caravan on the land formed an integral part of their social and communal identity as travellers.</w:t>
      </w:r>
      <w:r w:rsidRPr="006412ED">
        <w:rPr>
          <w:rStyle w:val="FootnoteReference"/>
          <w:rFonts w:ascii="Times New Roman" w:hAnsi="Times New Roman" w:cs="Times New Roman"/>
          <w:sz w:val="24"/>
          <w:szCs w:val="24"/>
          <w:shd w:val="clear" w:color="auto" w:fill="FFFFFF"/>
        </w:rPr>
        <w:footnoteReference w:id="210"/>
      </w:r>
      <w:r w:rsidRPr="006412ED">
        <w:rPr>
          <w:rFonts w:ascii="Times New Roman" w:hAnsi="Times New Roman" w:cs="Times New Roman"/>
          <w:sz w:val="24"/>
          <w:szCs w:val="24"/>
          <w:shd w:val="clear" w:color="auto" w:fill="FFFFFF"/>
        </w:rPr>
        <w:t xml:space="preserve">     </w:t>
      </w:r>
      <w:r w:rsidR="00DB653D" w:rsidRPr="006412ED">
        <w:rPr>
          <w:rFonts w:ascii="Times New Roman" w:hAnsi="Times New Roman" w:cs="Times New Roman"/>
          <w:sz w:val="24"/>
          <w:szCs w:val="24"/>
          <w:shd w:val="clear" w:color="auto" w:fill="FFFFFF"/>
        </w:rPr>
        <w:t xml:space="preserve"> </w:t>
      </w:r>
    </w:p>
    <w:p w:rsidR="007F472C" w:rsidRPr="00427059" w:rsidRDefault="007F472C" w:rsidP="00060EEC">
      <w:pPr>
        <w:spacing w:line="360" w:lineRule="auto"/>
        <w:ind w:firstLine="720"/>
        <w:rPr>
          <w:rFonts w:ascii="Times New Roman" w:hAnsi="Times New Roman" w:cs="Times New Roman"/>
          <w:sz w:val="24"/>
          <w:szCs w:val="24"/>
        </w:rPr>
      </w:pPr>
      <w:r w:rsidRPr="006412ED">
        <w:rPr>
          <w:rFonts w:ascii="Times New Roman" w:hAnsi="Times New Roman" w:cs="Times New Roman"/>
          <w:sz w:val="24"/>
          <w:szCs w:val="24"/>
          <w:shd w:val="clear" w:color="auto" w:fill="FFFFFF"/>
        </w:rPr>
        <w:t xml:space="preserve">The ruling is of significance also in that the Court also applied the principle of proportionality in regards to the state’s responsibility to take into account the vulnerable status of minority groups, and that travellers as a distinct group should be given special consideration as </w:t>
      </w:r>
      <w:r w:rsidRPr="00427059">
        <w:rPr>
          <w:rFonts w:ascii="Times New Roman" w:hAnsi="Times New Roman" w:cs="Times New Roman"/>
          <w:sz w:val="24"/>
          <w:szCs w:val="24"/>
          <w:shd w:val="clear" w:color="auto" w:fill="FFFFFF"/>
        </w:rPr>
        <w:t>to their ‘specifity’ as an underprivileged minority in the regulatory planning framework.</w:t>
      </w:r>
      <w:r w:rsidRPr="00427059">
        <w:rPr>
          <w:rStyle w:val="FootnoteReference"/>
          <w:rFonts w:ascii="Times New Roman" w:hAnsi="Times New Roman" w:cs="Times New Roman"/>
          <w:sz w:val="24"/>
          <w:szCs w:val="24"/>
          <w:shd w:val="clear" w:color="auto" w:fill="FFFFFF"/>
        </w:rPr>
        <w:footnoteReference w:id="211"/>
      </w:r>
      <w:r w:rsidRPr="00427059">
        <w:rPr>
          <w:rFonts w:ascii="Times New Roman" w:hAnsi="Times New Roman" w:cs="Times New Roman"/>
          <w:sz w:val="24"/>
          <w:szCs w:val="24"/>
          <w:shd w:val="clear" w:color="auto" w:fill="FFFFFF"/>
        </w:rPr>
        <w:t xml:space="preserve"> </w:t>
      </w:r>
      <w:r w:rsidRPr="00427059">
        <w:rPr>
          <w:rFonts w:ascii="Times New Roman" w:hAnsi="Times New Roman" w:cs="Times New Roman"/>
          <w:sz w:val="24"/>
          <w:szCs w:val="24"/>
        </w:rPr>
        <w:t xml:space="preserve">Recent developments in South America both in socio-political conflict and in human rights jurisprudence are also instructive in understanding how the dynamic between the interests of the state in development projects and the repercussions of those projects plays out in actuality, often with mixed results for the welfare of INPs, and indigenous peoples more generally. </w:t>
      </w:r>
    </w:p>
    <w:p w:rsidR="007F472C" w:rsidRPr="00427059" w:rsidRDefault="007F472C" w:rsidP="006412ED">
      <w:pPr>
        <w:spacing w:line="360" w:lineRule="auto"/>
        <w:rPr>
          <w:rFonts w:ascii="Times New Roman" w:hAnsi="Times New Roman" w:cs="Times New Roman"/>
          <w:sz w:val="24"/>
          <w:szCs w:val="24"/>
          <w:shd w:val="clear" w:color="auto" w:fill="FFFFFF"/>
        </w:rPr>
      </w:pPr>
      <w:r w:rsidRPr="00427059">
        <w:rPr>
          <w:rFonts w:ascii="Times New Roman" w:hAnsi="Times New Roman" w:cs="Times New Roman"/>
          <w:sz w:val="24"/>
          <w:szCs w:val="24"/>
        </w:rPr>
        <w:t>Currently such a scenario is being played out</w:t>
      </w:r>
      <w:r w:rsidR="00DB653D" w:rsidRPr="00427059">
        <w:rPr>
          <w:rFonts w:ascii="Times New Roman" w:hAnsi="Times New Roman" w:cs="Times New Roman"/>
          <w:sz w:val="24"/>
          <w:szCs w:val="24"/>
        </w:rPr>
        <w:t xml:space="preserve"> in Ecuador in a country that has</w:t>
      </w:r>
      <w:r w:rsidRPr="00427059">
        <w:rPr>
          <w:rFonts w:ascii="Times New Roman" w:hAnsi="Times New Roman" w:cs="Times New Roman"/>
          <w:sz w:val="24"/>
          <w:szCs w:val="24"/>
        </w:rPr>
        <w:t xml:space="preserve"> the rights of nature enshrined in its Constitution.</w:t>
      </w:r>
      <w:r w:rsidRPr="00427059">
        <w:rPr>
          <w:rStyle w:val="FootnoteReference"/>
          <w:rFonts w:ascii="Times New Roman" w:hAnsi="Times New Roman" w:cs="Times New Roman"/>
          <w:sz w:val="24"/>
          <w:szCs w:val="24"/>
        </w:rPr>
        <w:footnoteReference w:id="212"/>
      </w:r>
      <w:r w:rsidRPr="00427059">
        <w:rPr>
          <w:rFonts w:ascii="Times New Roman" w:hAnsi="Times New Roman" w:cs="Times New Roman"/>
          <w:sz w:val="24"/>
          <w:szCs w:val="24"/>
        </w:rPr>
        <w:t xml:space="preserve"> The well-publicised Yasuni-ITT initiative,</w:t>
      </w:r>
      <w:r w:rsidRPr="00427059">
        <w:rPr>
          <w:rStyle w:val="FootnoteReference"/>
          <w:rFonts w:ascii="Times New Roman" w:hAnsi="Times New Roman" w:cs="Times New Roman"/>
          <w:sz w:val="24"/>
          <w:szCs w:val="24"/>
        </w:rPr>
        <w:footnoteReference w:id="213"/>
      </w:r>
      <w:r w:rsidRPr="00427059">
        <w:rPr>
          <w:rFonts w:ascii="Times New Roman" w:hAnsi="Times New Roman" w:cs="Times New Roman"/>
          <w:sz w:val="24"/>
          <w:szCs w:val="24"/>
        </w:rPr>
        <w:t xml:space="preserve"> a progressive climate policy in which the Ecuadorian government suggested a conservation scheme whereby, for leaving its supplies of oil under ground in the bio-diverse Yasuni national park as a goodwill environmental gesture, richer countries could in return provide development aid in the form of revenue as compensation for the losses incurred by the Ecuadorian state. Revenue which the government argued could then, in turn, be utilised to develop the country’s social and economic infrastructure. Regrettably though, the initiative recently ended in some acrimony, as only a small amount was actually deposited by developed countries. Moreover, according to reports of leaked documents obtained by the Guardian newspaper the plan may not have been what it at first sight seemed to be, as the Country’s President was in secret simultaneous discussion with a Chinese oil firm during the lifespan of the initiative.</w:t>
      </w:r>
      <w:r w:rsidRPr="00427059">
        <w:rPr>
          <w:rStyle w:val="FootnoteReference"/>
          <w:rFonts w:ascii="Times New Roman" w:hAnsi="Times New Roman" w:cs="Times New Roman"/>
          <w:sz w:val="24"/>
          <w:szCs w:val="24"/>
        </w:rPr>
        <w:footnoteReference w:id="214"/>
      </w:r>
      <w:r w:rsidRPr="00427059">
        <w:rPr>
          <w:rFonts w:ascii="Times New Roman" w:hAnsi="Times New Roman" w:cs="Times New Roman"/>
          <w:sz w:val="24"/>
          <w:szCs w:val="24"/>
        </w:rPr>
        <w:t xml:space="preserve">  This, in turn, regrettably will almost certainly have serious repercussions for the region’s indigenous peoples. The Yasuni national park as well as being one the most </w:t>
      </w:r>
      <w:r w:rsidR="006A02CF" w:rsidRPr="00427059">
        <w:rPr>
          <w:rFonts w:ascii="Times New Roman" w:hAnsi="Times New Roman" w:cs="Times New Roman"/>
          <w:sz w:val="24"/>
          <w:szCs w:val="24"/>
        </w:rPr>
        <w:t>bio-diverse</w:t>
      </w:r>
      <w:r w:rsidRPr="00427059">
        <w:rPr>
          <w:rFonts w:ascii="Times New Roman" w:hAnsi="Times New Roman" w:cs="Times New Roman"/>
          <w:sz w:val="24"/>
          <w:szCs w:val="24"/>
        </w:rPr>
        <w:t xml:space="preserve"> places on earth is also home to two indigenous nomadic clans, </w:t>
      </w:r>
      <w:r w:rsidRPr="00427059">
        <w:rPr>
          <w:rFonts w:ascii="Times New Roman" w:hAnsi="Times New Roman" w:cs="Times New Roman"/>
          <w:sz w:val="24"/>
          <w:szCs w:val="24"/>
          <w:shd w:val="clear" w:color="auto" w:fill="FFFFFF"/>
        </w:rPr>
        <w:t>the Tagaeri and Taromenane, who live in the park in voluntary isolation.</w:t>
      </w:r>
      <w:r w:rsidRPr="00427059">
        <w:rPr>
          <w:rStyle w:val="FootnoteReference"/>
          <w:rFonts w:ascii="Times New Roman" w:hAnsi="Times New Roman" w:cs="Times New Roman"/>
          <w:sz w:val="24"/>
          <w:szCs w:val="24"/>
          <w:shd w:val="clear" w:color="auto" w:fill="FFFFFF"/>
        </w:rPr>
        <w:footnoteReference w:id="215"/>
      </w:r>
      <w:r w:rsidRPr="00427059">
        <w:rPr>
          <w:rFonts w:ascii="Times New Roman" w:hAnsi="Times New Roman" w:cs="Times New Roman"/>
          <w:sz w:val="24"/>
          <w:szCs w:val="24"/>
          <w:shd w:val="clear" w:color="auto" w:fill="FFFFFF"/>
        </w:rPr>
        <w:t xml:space="preserve"> Unfortunately for these peoples the Ecuadorian government has already divided 40% of the park into designated blocks for oil concessions, a policy move with geo-economic undertones, and one that encroaches further and further into the two tribe’s land and territories.</w:t>
      </w:r>
      <w:r w:rsidRPr="00427059">
        <w:rPr>
          <w:rStyle w:val="FootnoteReference"/>
          <w:rFonts w:ascii="Times New Roman" w:hAnsi="Times New Roman" w:cs="Times New Roman"/>
          <w:sz w:val="24"/>
          <w:szCs w:val="24"/>
          <w:shd w:val="clear" w:color="auto" w:fill="FFFFFF"/>
        </w:rPr>
        <w:footnoteReference w:id="216"/>
      </w:r>
      <w:r w:rsidRPr="00427059">
        <w:rPr>
          <w:rFonts w:ascii="Times New Roman" w:hAnsi="Times New Roman" w:cs="Times New Roman"/>
          <w:sz w:val="24"/>
          <w:szCs w:val="24"/>
          <w:shd w:val="clear" w:color="auto" w:fill="FFFFFF"/>
        </w:rPr>
        <w:t xml:space="preserve">   </w:t>
      </w:r>
    </w:p>
    <w:p w:rsidR="007F472C" w:rsidRPr="006412ED" w:rsidRDefault="007F472C" w:rsidP="00060EEC">
      <w:pPr>
        <w:spacing w:line="360" w:lineRule="auto"/>
        <w:ind w:firstLine="720"/>
        <w:rPr>
          <w:rFonts w:ascii="Times New Roman" w:hAnsi="Times New Roman" w:cs="Times New Roman"/>
          <w:sz w:val="24"/>
          <w:szCs w:val="24"/>
        </w:rPr>
      </w:pPr>
      <w:r w:rsidRPr="00427059">
        <w:rPr>
          <w:rFonts w:ascii="Times New Roman" w:hAnsi="Times New Roman" w:cs="Times New Roman"/>
          <w:sz w:val="24"/>
          <w:szCs w:val="24"/>
        </w:rPr>
        <w:t>Similarly in Peru where the former President, Alan Garcia, publicly speculated that the country’s huge untapped oil and mineral deposits should be opened up to large scale foreign investment to let development take place; a move that is currently signalling the breaking up of indigenous land and territory.</w:t>
      </w:r>
      <w:r w:rsidRPr="00427059">
        <w:rPr>
          <w:rStyle w:val="FootnoteReference"/>
          <w:rFonts w:ascii="Times New Roman" w:hAnsi="Times New Roman" w:cs="Times New Roman"/>
          <w:sz w:val="24"/>
          <w:szCs w:val="24"/>
        </w:rPr>
        <w:footnoteReference w:id="217"/>
      </w:r>
      <w:r w:rsidRPr="00427059">
        <w:rPr>
          <w:rFonts w:ascii="Times New Roman" w:hAnsi="Times New Roman" w:cs="Times New Roman"/>
          <w:sz w:val="24"/>
          <w:szCs w:val="24"/>
        </w:rPr>
        <w:t xml:space="preserve">  After proposing two legislative decrees, 1090 and 1064, whose objective was to open up indigenous territories to oil, gas, mining and hydropower companies, Garcia proposed in language perhaps designed to appeal to a specific international audience of investors and speculators:  “there are millions of hectares for timber ex</w:t>
      </w:r>
      <w:r w:rsidRPr="00427059">
        <w:rPr>
          <w:rFonts w:ascii="Times New Roman" w:hAnsi="Times New Roman" w:cs="Times New Roman"/>
          <w:sz w:val="24"/>
          <w:szCs w:val="24"/>
        </w:rPr>
        <w:softHyphen/>
        <w:t>traction that lie idle, millions more that communities and  associations have not, and will never, cultivate, in addition to hundreds of mineral deposits that cannot be worked.”</w:t>
      </w:r>
      <w:r w:rsidRPr="00427059">
        <w:rPr>
          <w:rStyle w:val="FootnoteReference"/>
          <w:rFonts w:ascii="Times New Roman" w:hAnsi="Times New Roman" w:cs="Times New Roman"/>
          <w:sz w:val="24"/>
          <w:szCs w:val="24"/>
        </w:rPr>
        <w:footnoteReference w:id="218"/>
      </w:r>
      <w:r w:rsidRPr="00427059">
        <w:rPr>
          <w:rFonts w:ascii="Times New Roman" w:hAnsi="Times New Roman" w:cs="Times New Roman"/>
          <w:sz w:val="24"/>
          <w:szCs w:val="24"/>
        </w:rPr>
        <w:t xml:space="preserve"> Unfortunately events in Peru took a violent turn, where as a direct result of protests by indigenous NGOs and human rights groups in response to the above decrees, tragedy ensued, and on June 5</w:t>
      </w:r>
      <w:r w:rsidRPr="00427059">
        <w:rPr>
          <w:rFonts w:ascii="Times New Roman" w:hAnsi="Times New Roman" w:cs="Times New Roman"/>
          <w:sz w:val="24"/>
          <w:szCs w:val="24"/>
          <w:vertAlign w:val="superscript"/>
        </w:rPr>
        <w:t>th</w:t>
      </w:r>
      <w:r w:rsidRPr="00427059">
        <w:rPr>
          <w:rFonts w:ascii="Times New Roman" w:hAnsi="Times New Roman" w:cs="Times New Roman"/>
          <w:sz w:val="24"/>
          <w:szCs w:val="24"/>
        </w:rPr>
        <w:t xml:space="preserve"> 2009 in the town of Bagua Grande at least twenty people were killed, </w:t>
      </w:r>
      <w:r w:rsidRPr="00060EEC">
        <w:rPr>
          <w:rFonts w:ascii="Times New Roman" w:hAnsi="Times New Roman" w:cs="Times New Roman"/>
          <w:sz w:val="24"/>
          <w:szCs w:val="24"/>
        </w:rPr>
        <w:t>although the true figure could be much higher, in what has since come to be known as the “Amazon’s Tiananmen”.</w:t>
      </w:r>
      <w:r w:rsidRPr="00060EEC">
        <w:rPr>
          <w:rStyle w:val="FootnoteReference"/>
          <w:rFonts w:ascii="Times New Roman" w:hAnsi="Times New Roman" w:cs="Times New Roman"/>
          <w:sz w:val="24"/>
          <w:szCs w:val="24"/>
        </w:rPr>
        <w:footnoteReference w:id="219"/>
      </w:r>
      <w:r w:rsidRPr="006412ED">
        <w:rPr>
          <w:rFonts w:ascii="Times New Roman" w:hAnsi="Times New Roman" w:cs="Times New Roman"/>
          <w:sz w:val="24"/>
          <w:szCs w:val="24"/>
        </w:rPr>
        <w:t xml:space="preserve">  </w:t>
      </w:r>
    </w:p>
    <w:p w:rsidR="006A02CF" w:rsidRPr="003D7876" w:rsidRDefault="009D6EE2" w:rsidP="006412ED">
      <w:pPr>
        <w:pStyle w:val="Heading2"/>
        <w:spacing w:line="360" w:lineRule="auto"/>
      </w:pPr>
      <w:bookmarkStart w:id="39" w:name="_Toc399848371"/>
      <w:r>
        <w:t xml:space="preserve">6.3 </w:t>
      </w:r>
      <w:r w:rsidR="006A02CF" w:rsidRPr="003D7876">
        <w:t>Yanomam</w:t>
      </w:r>
      <w:r w:rsidR="003D7876">
        <w:t>i</w:t>
      </w:r>
      <w:r w:rsidR="006A02CF" w:rsidRPr="003D7876">
        <w:t xml:space="preserve"> Community v. Brazil</w:t>
      </w:r>
      <w:bookmarkEnd w:id="39"/>
      <w:r w:rsidR="006A02CF" w:rsidRPr="003D7876">
        <w:t xml:space="preserve"> </w:t>
      </w:r>
    </w:p>
    <w:p w:rsidR="004001E7" w:rsidRPr="006412ED" w:rsidRDefault="006A02CF" w:rsidP="00060EEC">
      <w:pPr>
        <w:spacing w:line="360" w:lineRule="auto"/>
        <w:ind w:firstLine="720"/>
        <w:rPr>
          <w:rFonts w:ascii="Times New Roman" w:hAnsi="Times New Roman" w:cs="Times New Roman"/>
          <w:color w:val="000000"/>
          <w:sz w:val="24"/>
          <w:szCs w:val="24"/>
        </w:rPr>
      </w:pPr>
      <w:r w:rsidRPr="006412ED">
        <w:rPr>
          <w:rStyle w:val="itemtitle"/>
          <w:rFonts w:ascii="Times New Roman" w:hAnsi="Times New Roman" w:cs="Times New Roman"/>
          <w:sz w:val="24"/>
          <w:szCs w:val="24"/>
        </w:rPr>
        <w:t>In the</w:t>
      </w:r>
      <w:r w:rsidR="003D7876" w:rsidRPr="006412ED">
        <w:rPr>
          <w:rStyle w:val="itemtitle"/>
          <w:rFonts w:ascii="Times New Roman" w:hAnsi="Times New Roman" w:cs="Times New Roman"/>
          <w:sz w:val="24"/>
          <w:szCs w:val="24"/>
        </w:rPr>
        <w:t xml:space="preserve"> emblematic</w:t>
      </w:r>
      <w:r w:rsidRPr="006412ED">
        <w:rPr>
          <w:rStyle w:val="itemtitle"/>
          <w:rFonts w:ascii="Times New Roman" w:hAnsi="Times New Roman" w:cs="Times New Roman"/>
          <w:sz w:val="24"/>
          <w:szCs w:val="24"/>
        </w:rPr>
        <w:t xml:space="preserve"> case of </w:t>
      </w:r>
      <w:r w:rsidR="009E72CC" w:rsidRPr="006412ED">
        <w:rPr>
          <w:rStyle w:val="itemtitle"/>
          <w:rFonts w:ascii="Times New Roman" w:hAnsi="Times New Roman" w:cs="Times New Roman"/>
          <w:sz w:val="24"/>
          <w:szCs w:val="24"/>
        </w:rPr>
        <w:t>The</w:t>
      </w:r>
      <w:r w:rsidRPr="006412ED">
        <w:rPr>
          <w:rStyle w:val="itemtitle"/>
          <w:rFonts w:ascii="Times New Roman" w:hAnsi="Times New Roman" w:cs="Times New Roman"/>
          <w:sz w:val="24"/>
          <w:szCs w:val="24"/>
        </w:rPr>
        <w:t xml:space="preserve"> </w:t>
      </w:r>
      <w:r w:rsidRPr="006412ED">
        <w:rPr>
          <w:rFonts w:ascii="Times New Roman" w:hAnsi="Times New Roman" w:cs="Times New Roman"/>
          <w:i/>
          <w:sz w:val="24"/>
          <w:szCs w:val="24"/>
        </w:rPr>
        <w:t>Yanomam</w:t>
      </w:r>
      <w:r w:rsidR="003D7876" w:rsidRPr="006412ED">
        <w:rPr>
          <w:rFonts w:ascii="Times New Roman" w:hAnsi="Times New Roman" w:cs="Times New Roman"/>
          <w:i/>
          <w:sz w:val="24"/>
          <w:szCs w:val="24"/>
        </w:rPr>
        <w:t>i</w:t>
      </w:r>
      <w:r w:rsidRPr="006412ED">
        <w:rPr>
          <w:rFonts w:ascii="Times New Roman" w:hAnsi="Times New Roman" w:cs="Times New Roman"/>
          <w:i/>
          <w:sz w:val="24"/>
          <w:szCs w:val="24"/>
        </w:rPr>
        <w:t xml:space="preserve"> Community v. Brazil</w:t>
      </w:r>
      <w:r w:rsidRPr="006412ED">
        <w:rPr>
          <w:rFonts w:ascii="Times New Roman" w:hAnsi="Times New Roman" w:cs="Times New Roman"/>
          <w:sz w:val="24"/>
          <w:szCs w:val="24"/>
        </w:rPr>
        <w:t>,</w:t>
      </w:r>
      <w:r w:rsidRPr="006412ED">
        <w:rPr>
          <w:rStyle w:val="FootnoteReference"/>
          <w:rFonts w:ascii="Times New Roman" w:hAnsi="Times New Roman" w:cs="Times New Roman"/>
          <w:sz w:val="24"/>
          <w:szCs w:val="24"/>
        </w:rPr>
        <w:footnoteReference w:id="220"/>
      </w:r>
      <w:r w:rsidR="003D7876" w:rsidRPr="006412ED">
        <w:rPr>
          <w:rFonts w:ascii="Times New Roman" w:hAnsi="Times New Roman" w:cs="Times New Roman"/>
          <w:sz w:val="24"/>
          <w:szCs w:val="24"/>
        </w:rPr>
        <w:t xml:space="preserve"> the Inter-American Commission on Human Rights (hereafter IACmHR</w:t>
      </w:r>
      <w:r w:rsidR="00EE12DD" w:rsidRPr="006412ED">
        <w:rPr>
          <w:rStyle w:val="FootnoteReference"/>
          <w:rFonts w:ascii="Times New Roman" w:hAnsi="Times New Roman" w:cs="Times New Roman"/>
          <w:sz w:val="24"/>
          <w:szCs w:val="24"/>
        </w:rPr>
        <w:footnoteReference w:id="221"/>
      </w:r>
      <w:r w:rsidR="003D7876" w:rsidRPr="006412ED">
        <w:rPr>
          <w:rFonts w:ascii="Times New Roman" w:hAnsi="Times New Roman" w:cs="Times New Roman"/>
          <w:sz w:val="24"/>
          <w:szCs w:val="24"/>
        </w:rPr>
        <w:t xml:space="preserve">) considered a petition brought by representatives of the Yanomani peoples against the Brazilian government </w:t>
      </w:r>
      <w:r w:rsidR="004001E7" w:rsidRPr="006412ED">
        <w:rPr>
          <w:rFonts w:ascii="Times New Roman" w:hAnsi="Times New Roman" w:cs="Times New Roman"/>
          <w:sz w:val="24"/>
          <w:szCs w:val="24"/>
        </w:rPr>
        <w:t>in</w:t>
      </w:r>
      <w:r w:rsidR="003D7876" w:rsidRPr="006412ED">
        <w:rPr>
          <w:rFonts w:ascii="Times New Roman" w:hAnsi="Times New Roman" w:cs="Times New Roman"/>
          <w:sz w:val="24"/>
          <w:szCs w:val="24"/>
        </w:rPr>
        <w:t xml:space="preserve"> 198</w:t>
      </w:r>
      <w:r w:rsidR="004001E7" w:rsidRPr="006412ED">
        <w:rPr>
          <w:rFonts w:ascii="Times New Roman" w:hAnsi="Times New Roman" w:cs="Times New Roman"/>
          <w:sz w:val="24"/>
          <w:szCs w:val="24"/>
        </w:rPr>
        <w:t>0</w:t>
      </w:r>
      <w:r w:rsidR="003D7876" w:rsidRPr="006412ED">
        <w:rPr>
          <w:rFonts w:ascii="Times New Roman" w:hAnsi="Times New Roman" w:cs="Times New Roman"/>
          <w:sz w:val="24"/>
          <w:szCs w:val="24"/>
        </w:rPr>
        <w:t xml:space="preserve">. </w:t>
      </w:r>
      <w:r w:rsidR="00EE12DD" w:rsidRPr="006412ED">
        <w:rPr>
          <w:rFonts w:ascii="Times New Roman" w:hAnsi="Times New Roman" w:cs="Times New Roman"/>
          <w:color w:val="000000"/>
          <w:sz w:val="24"/>
          <w:szCs w:val="24"/>
        </w:rPr>
        <w:t xml:space="preserve">The construction of a highway on their lands in the 1960s compelled thousands of </w:t>
      </w:r>
      <w:r w:rsidR="00E51CD9" w:rsidRPr="006412ED">
        <w:rPr>
          <w:rFonts w:ascii="Times New Roman" w:hAnsi="Times New Roman" w:cs="Times New Roman"/>
          <w:color w:val="000000"/>
          <w:sz w:val="24"/>
          <w:szCs w:val="24"/>
        </w:rPr>
        <w:t>Yanomani</w:t>
      </w:r>
      <w:r w:rsidR="00EE12DD" w:rsidRPr="006412ED">
        <w:rPr>
          <w:rFonts w:ascii="Times New Roman" w:hAnsi="Times New Roman" w:cs="Times New Roman"/>
          <w:color w:val="000000"/>
          <w:sz w:val="24"/>
          <w:szCs w:val="24"/>
        </w:rPr>
        <w:t xml:space="preserve"> to be violently displaced as a result of the influx of mining companies, which brought them devastating physical and psychological consequences.</w:t>
      </w:r>
      <w:r w:rsidR="00EE12DD" w:rsidRPr="006412ED">
        <w:rPr>
          <w:rStyle w:val="FootnoteReference"/>
          <w:rFonts w:ascii="Times New Roman" w:hAnsi="Times New Roman" w:cs="Times New Roman"/>
          <w:color w:val="000000"/>
          <w:sz w:val="24"/>
          <w:szCs w:val="24"/>
        </w:rPr>
        <w:footnoteReference w:id="222"/>
      </w:r>
      <w:r w:rsidR="00EE12DD" w:rsidRPr="006412ED">
        <w:rPr>
          <w:rFonts w:ascii="Times New Roman" w:hAnsi="Times New Roman" w:cs="Times New Roman"/>
          <w:color w:val="000000"/>
          <w:sz w:val="24"/>
          <w:szCs w:val="24"/>
        </w:rPr>
        <w:t xml:space="preserve"> </w:t>
      </w:r>
      <w:r w:rsidR="003D7876" w:rsidRPr="006412ED">
        <w:rPr>
          <w:rFonts w:ascii="Times New Roman" w:hAnsi="Times New Roman" w:cs="Times New Roman"/>
          <w:sz w:val="24"/>
          <w:szCs w:val="24"/>
        </w:rPr>
        <w:t>The allegations included in the petition where that of</w:t>
      </w:r>
      <w:r w:rsidR="004001E7" w:rsidRPr="006412ED">
        <w:rPr>
          <w:rFonts w:ascii="Times New Roman" w:hAnsi="Times New Roman" w:cs="Times New Roman"/>
          <w:sz w:val="24"/>
          <w:szCs w:val="24"/>
        </w:rPr>
        <w:t xml:space="preserve"> serious</w:t>
      </w:r>
      <w:r w:rsidR="003D7876" w:rsidRPr="006412ED">
        <w:rPr>
          <w:rFonts w:ascii="Times New Roman" w:hAnsi="Times New Roman" w:cs="Times New Roman"/>
          <w:sz w:val="24"/>
          <w:szCs w:val="24"/>
        </w:rPr>
        <w:t xml:space="preserve"> human rights violations</w:t>
      </w:r>
      <w:r w:rsidR="004001E7" w:rsidRPr="006412ED">
        <w:rPr>
          <w:rFonts w:ascii="Times New Roman" w:hAnsi="Times New Roman" w:cs="Times New Roman"/>
          <w:sz w:val="24"/>
          <w:szCs w:val="24"/>
        </w:rPr>
        <w:t xml:space="preserve"> brought about</w:t>
      </w:r>
      <w:r w:rsidR="003D7876" w:rsidRPr="006412ED">
        <w:rPr>
          <w:rFonts w:ascii="Times New Roman" w:hAnsi="Times New Roman" w:cs="Times New Roman"/>
          <w:sz w:val="24"/>
          <w:szCs w:val="24"/>
        </w:rPr>
        <w:t xml:space="preserve"> by mining development on indigenous land,</w:t>
      </w:r>
      <w:r w:rsidR="004001E7" w:rsidRPr="006412ED">
        <w:rPr>
          <w:rFonts w:ascii="Times New Roman" w:hAnsi="Times New Roman" w:cs="Times New Roman"/>
          <w:sz w:val="24"/>
          <w:szCs w:val="24"/>
        </w:rPr>
        <w:t xml:space="preserve"> including mass displacement,</w:t>
      </w:r>
      <w:r w:rsidR="004001E7" w:rsidRPr="006412ED">
        <w:rPr>
          <w:rStyle w:val="FootnoteReference"/>
          <w:rFonts w:ascii="Times New Roman" w:hAnsi="Times New Roman" w:cs="Times New Roman"/>
          <w:sz w:val="24"/>
          <w:szCs w:val="24"/>
        </w:rPr>
        <w:footnoteReference w:id="223"/>
      </w:r>
      <w:r w:rsidR="004001E7" w:rsidRPr="006412ED">
        <w:rPr>
          <w:rFonts w:ascii="Times New Roman" w:hAnsi="Times New Roman" w:cs="Times New Roman"/>
          <w:sz w:val="24"/>
          <w:szCs w:val="24"/>
        </w:rPr>
        <w:t xml:space="preserve"> and the general failure of the state to provide adequate protection to indigenous communities. The petitioners cited in particular </w:t>
      </w:r>
      <w:r w:rsidR="002F5036" w:rsidRPr="006412ED">
        <w:rPr>
          <w:rFonts w:ascii="Times New Roman" w:hAnsi="Times New Roman" w:cs="Times New Roman"/>
          <w:sz w:val="24"/>
          <w:szCs w:val="24"/>
        </w:rPr>
        <w:t xml:space="preserve">the right to </w:t>
      </w:r>
      <w:r w:rsidR="002F5036" w:rsidRPr="006412ED">
        <w:rPr>
          <w:rFonts w:ascii="Times New Roman" w:hAnsi="Times New Roman" w:cs="Times New Roman"/>
          <w:color w:val="000000"/>
          <w:sz w:val="24"/>
          <w:szCs w:val="24"/>
        </w:rPr>
        <w:t>right to life, to freedom, to the Security and Integrity of the Person and the right to property.</w:t>
      </w:r>
      <w:r w:rsidR="002F5036" w:rsidRPr="006412ED">
        <w:rPr>
          <w:rStyle w:val="FootnoteReference"/>
          <w:rFonts w:ascii="Times New Roman" w:hAnsi="Times New Roman" w:cs="Times New Roman"/>
          <w:color w:val="000000"/>
          <w:sz w:val="24"/>
          <w:szCs w:val="24"/>
        </w:rPr>
        <w:footnoteReference w:id="224"/>
      </w:r>
      <w:r w:rsidR="002F5036" w:rsidRPr="006412ED">
        <w:rPr>
          <w:rFonts w:ascii="Times New Roman" w:hAnsi="Times New Roman" w:cs="Times New Roman"/>
          <w:color w:val="000000"/>
          <w:sz w:val="24"/>
          <w:szCs w:val="24"/>
        </w:rPr>
        <w:t xml:space="preserve"> </w:t>
      </w:r>
      <w:r w:rsidR="00860781" w:rsidRPr="006412ED">
        <w:rPr>
          <w:rFonts w:ascii="Times New Roman" w:hAnsi="Times New Roman" w:cs="Times New Roman"/>
          <w:color w:val="000000"/>
          <w:sz w:val="24"/>
          <w:szCs w:val="24"/>
        </w:rPr>
        <w:t xml:space="preserve">The case is emblematic, amongst other reasons, </w:t>
      </w:r>
      <w:r w:rsidR="004D1409" w:rsidRPr="006412ED">
        <w:rPr>
          <w:rFonts w:ascii="Times New Roman" w:hAnsi="Times New Roman" w:cs="Times New Roman"/>
          <w:color w:val="000000"/>
          <w:sz w:val="24"/>
          <w:szCs w:val="24"/>
        </w:rPr>
        <w:t>in</w:t>
      </w:r>
      <w:r w:rsidR="00860781" w:rsidRPr="006412ED">
        <w:rPr>
          <w:rFonts w:ascii="Times New Roman" w:hAnsi="Times New Roman" w:cs="Times New Roman"/>
          <w:color w:val="000000"/>
          <w:sz w:val="24"/>
          <w:szCs w:val="24"/>
        </w:rPr>
        <w:t xml:space="preserve"> that in 1973 the Brazilian</w:t>
      </w:r>
      <w:r w:rsidR="004D1409" w:rsidRPr="006412ED">
        <w:rPr>
          <w:rFonts w:ascii="Times New Roman" w:hAnsi="Times New Roman" w:cs="Times New Roman"/>
          <w:color w:val="000000"/>
          <w:sz w:val="24"/>
          <w:szCs w:val="24"/>
        </w:rPr>
        <w:t xml:space="preserve"> state give itself the right under Article 20 of Law 6001 to expropriate property for “exceptional reasons” to carry out, “[P]ublic works of interest to the national development…”</w:t>
      </w:r>
      <w:r w:rsidR="004D1409" w:rsidRPr="006412ED">
        <w:rPr>
          <w:rStyle w:val="FootnoteReference"/>
          <w:rFonts w:ascii="Times New Roman" w:hAnsi="Times New Roman" w:cs="Times New Roman"/>
          <w:color w:val="000000"/>
          <w:sz w:val="24"/>
          <w:szCs w:val="24"/>
        </w:rPr>
        <w:footnoteReference w:id="225"/>
      </w:r>
      <w:r w:rsidR="00A81204" w:rsidRPr="006412ED">
        <w:rPr>
          <w:rFonts w:ascii="Times New Roman" w:hAnsi="Times New Roman" w:cs="Times New Roman"/>
          <w:color w:val="000000"/>
          <w:sz w:val="24"/>
          <w:szCs w:val="24"/>
        </w:rPr>
        <w:t xml:space="preserve">  The law utilises the concept of “eminent domain” as previously discussed and indeed is a good example of the state prioritising development in the national interest.</w:t>
      </w:r>
      <w:r w:rsidR="004D1409" w:rsidRPr="006412ED">
        <w:rPr>
          <w:rFonts w:ascii="Times New Roman" w:hAnsi="Times New Roman" w:cs="Times New Roman"/>
          <w:color w:val="000000"/>
          <w:sz w:val="24"/>
          <w:szCs w:val="24"/>
        </w:rPr>
        <w:t xml:space="preserve"> The IACmHR considered the human rights violations which followed</w:t>
      </w:r>
      <w:r w:rsidR="00A81204" w:rsidRPr="006412ED">
        <w:rPr>
          <w:rFonts w:ascii="Times New Roman" w:hAnsi="Times New Roman" w:cs="Times New Roman"/>
          <w:color w:val="000000"/>
          <w:sz w:val="24"/>
          <w:szCs w:val="24"/>
        </w:rPr>
        <w:t>,</w:t>
      </w:r>
      <w:r w:rsidR="004D1409" w:rsidRPr="006412ED">
        <w:rPr>
          <w:rFonts w:ascii="Times New Roman" w:hAnsi="Times New Roman" w:cs="Times New Roman"/>
          <w:color w:val="000000"/>
          <w:sz w:val="24"/>
          <w:szCs w:val="24"/>
        </w:rPr>
        <w:t xml:space="preserve"> citing in particular Article 27 of the ICCPR</w:t>
      </w:r>
      <w:r w:rsidR="00A81204" w:rsidRPr="006412ED">
        <w:rPr>
          <w:rFonts w:ascii="Times New Roman" w:hAnsi="Times New Roman" w:cs="Times New Roman"/>
          <w:color w:val="000000"/>
          <w:sz w:val="24"/>
          <w:szCs w:val="24"/>
        </w:rPr>
        <w:t xml:space="preserve"> on minority rights to language, religion and cultural identity</w:t>
      </w:r>
      <w:r w:rsidR="0004114C" w:rsidRPr="006412ED">
        <w:rPr>
          <w:rFonts w:ascii="Times New Roman" w:hAnsi="Times New Roman" w:cs="Times New Roman"/>
          <w:color w:val="000000"/>
          <w:sz w:val="24"/>
          <w:szCs w:val="24"/>
        </w:rPr>
        <w:t>,</w:t>
      </w:r>
      <w:r w:rsidR="00A81204" w:rsidRPr="006412ED">
        <w:rPr>
          <w:rStyle w:val="FootnoteReference"/>
          <w:rFonts w:ascii="Times New Roman" w:hAnsi="Times New Roman" w:cs="Times New Roman"/>
          <w:color w:val="000000"/>
          <w:sz w:val="24"/>
          <w:szCs w:val="24"/>
        </w:rPr>
        <w:footnoteReference w:id="226"/>
      </w:r>
      <w:r w:rsidR="00A81204" w:rsidRPr="006412ED">
        <w:rPr>
          <w:rFonts w:ascii="Times New Roman" w:hAnsi="Times New Roman" w:cs="Times New Roman"/>
          <w:color w:val="000000"/>
          <w:sz w:val="24"/>
          <w:szCs w:val="24"/>
        </w:rPr>
        <w:t xml:space="preserve"> </w:t>
      </w:r>
      <w:r w:rsidR="0004114C" w:rsidRPr="006412ED">
        <w:rPr>
          <w:rFonts w:ascii="Times New Roman" w:hAnsi="Times New Roman" w:cs="Times New Roman"/>
          <w:color w:val="000000"/>
          <w:sz w:val="24"/>
          <w:szCs w:val="24"/>
        </w:rPr>
        <w:t>and concluded that on careful examination of the facts, “Indian inhabitants of various villages near the route of highway BR-210…abandoned their villages and were changed into beggars or prostitutes, without the Government of Brazil's taking the necessary measures to prevent this.”</w:t>
      </w:r>
      <w:r w:rsidR="0004114C" w:rsidRPr="006412ED">
        <w:rPr>
          <w:rStyle w:val="FootnoteReference"/>
          <w:rFonts w:ascii="Times New Roman" w:hAnsi="Times New Roman" w:cs="Times New Roman"/>
          <w:color w:val="000000"/>
          <w:sz w:val="24"/>
          <w:szCs w:val="24"/>
        </w:rPr>
        <w:footnoteReference w:id="227"/>
      </w:r>
      <w:r w:rsidR="0004114C" w:rsidRPr="006412ED">
        <w:rPr>
          <w:rFonts w:ascii="Times New Roman" w:hAnsi="Times New Roman" w:cs="Times New Roman"/>
          <w:color w:val="000000"/>
          <w:sz w:val="24"/>
          <w:szCs w:val="24"/>
        </w:rPr>
        <w:t xml:space="preserve"> The IACmHR found that Brazil had violated the human rights of the </w:t>
      </w:r>
      <w:r w:rsidR="008379AC" w:rsidRPr="006412ED">
        <w:rPr>
          <w:rFonts w:ascii="Times New Roman" w:hAnsi="Times New Roman" w:cs="Times New Roman"/>
          <w:color w:val="000000"/>
          <w:sz w:val="24"/>
          <w:szCs w:val="24"/>
        </w:rPr>
        <w:t xml:space="preserve">Yanomani under article 1 (right to life) and article VIII (right to residence and movement) of the </w:t>
      </w:r>
      <w:r w:rsidR="008379AC" w:rsidRPr="006412ED">
        <w:rPr>
          <w:rFonts w:ascii="Times New Roman" w:hAnsi="Times New Roman" w:cs="Times New Roman"/>
          <w:sz w:val="24"/>
          <w:szCs w:val="24"/>
        </w:rPr>
        <w:t>American Declaration of the Rights and Duties of Man.</w:t>
      </w:r>
      <w:r w:rsidR="008379AC" w:rsidRPr="006412ED">
        <w:rPr>
          <w:rStyle w:val="FootnoteReference"/>
          <w:rFonts w:ascii="Times New Roman" w:hAnsi="Times New Roman" w:cs="Times New Roman"/>
          <w:sz w:val="24"/>
          <w:szCs w:val="24"/>
        </w:rPr>
        <w:footnoteReference w:id="228"/>
      </w:r>
    </w:p>
    <w:p w:rsidR="007F472C" w:rsidRPr="00850722" w:rsidRDefault="009D6EE2" w:rsidP="006412ED">
      <w:pPr>
        <w:pStyle w:val="Heading3"/>
        <w:spacing w:line="360" w:lineRule="auto"/>
      </w:pPr>
      <w:bookmarkStart w:id="40" w:name="_Toc399848372"/>
      <w:r w:rsidRPr="00850722">
        <w:rPr>
          <w:rStyle w:val="itemtitle"/>
          <w:szCs w:val="28"/>
        </w:rPr>
        <w:t>6.4 Sawhoyamaxa</w:t>
      </w:r>
      <w:r w:rsidR="007F472C" w:rsidRPr="00850722">
        <w:rPr>
          <w:rStyle w:val="itemtitle"/>
          <w:szCs w:val="28"/>
        </w:rPr>
        <w:t xml:space="preserve"> Indigenous Community of the Enxet-Lengua people v Paraguay</w:t>
      </w:r>
      <w:bookmarkEnd w:id="40"/>
    </w:p>
    <w:p w:rsidR="00204215" w:rsidRPr="006412ED" w:rsidRDefault="00860781" w:rsidP="00060EEC">
      <w:pPr>
        <w:spacing w:line="360" w:lineRule="auto"/>
        <w:ind w:firstLine="720"/>
        <w:rPr>
          <w:rFonts w:ascii="Times New Roman" w:hAnsi="Times New Roman" w:cs="Times New Roman"/>
          <w:sz w:val="24"/>
          <w:szCs w:val="24"/>
        </w:rPr>
      </w:pPr>
      <w:r w:rsidRPr="006412ED">
        <w:rPr>
          <w:rFonts w:ascii="Times New Roman" w:hAnsi="Times New Roman" w:cs="Times New Roman"/>
          <w:sz w:val="24"/>
          <w:szCs w:val="24"/>
        </w:rPr>
        <w:t>More currently, e</w:t>
      </w:r>
      <w:r w:rsidR="007F472C" w:rsidRPr="006412ED">
        <w:rPr>
          <w:rFonts w:ascii="Times New Roman" w:hAnsi="Times New Roman" w:cs="Times New Roman"/>
          <w:sz w:val="24"/>
          <w:szCs w:val="24"/>
        </w:rPr>
        <w:t>merging human rights jurisprudence considering the causes and consequences of these types of scenarios discussed in the previous section has played out on numerous occasions in regional judicial bodies and quasi-judicial bodies, such as the African Commission on Human and Peoples’ Rights.</w:t>
      </w:r>
      <w:r w:rsidR="007F472C" w:rsidRPr="006412ED">
        <w:rPr>
          <w:rStyle w:val="FootnoteReference"/>
          <w:rFonts w:ascii="Times New Roman" w:hAnsi="Times New Roman" w:cs="Times New Roman"/>
          <w:sz w:val="24"/>
          <w:szCs w:val="24"/>
        </w:rPr>
        <w:footnoteReference w:id="229"/>
      </w:r>
      <w:r w:rsidR="007F472C" w:rsidRPr="006412ED">
        <w:rPr>
          <w:rFonts w:ascii="Times New Roman" w:hAnsi="Times New Roman" w:cs="Times New Roman"/>
          <w:sz w:val="24"/>
          <w:szCs w:val="24"/>
        </w:rPr>
        <w:t xml:space="preserve"> </w:t>
      </w:r>
      <w:r w:rsidRPr="006412ED">
        <w:rPr>
          <w:rFonts w:ascii="Times New Roman" w:hAnsi="Times New Roman" w:cs="Times New Roman"/>
          <w:sz w:val="24"/>
          <w:szCs w:val="24"/>
        </w:rPr>
        <w:t xml:space="preserve">As we have already seen in </w:t>
      </w:r>
      <w:r w:rsidRPr="006412ED">
        <w:rPr>
          <w:rFonts w:ascii="Times New Roman" w:hAnsi="Times New Roman" w:cs="Times New Roman"/>
          <w:i/>
          <w:sz w:val="24"/>
          <w:szCs w:val="24"/>
        </w:rPr>
        <w:t>Yanomami Community v. Brazil</w:t>
      </w:r>
      <w:r w:rsidRPr="006412ED">
        <w:rPr>
          <w:rFonts w:ascii="Times New Roman" w:hAnsi="Times New Roman" w:cs="Times New Roman"/>
          <w:sz w:val="24"/>
          <w:szCs w:val="24"/>
        </w:rPr>
        <w:t>, t</w:t>
      </w:r>
      <w:r w:rsidR="007F472C" w:rsidRPr="006412ED">
        <w:rPr>
          <w:rFonts w:ascii="Times New Roman" w:hAnsi="Times New Roman" w:cs="Times New Roman"/>
          <w:sz w:val="24"/>
          <w:szCs w:val="24"/>
        </w:rPr>
        <w:t xml:space="preserve">he </w:t>
      </w:r>
      <w:r w:rsidRPr="006412ED">
        <w:rPr>
          <w:rFonts w:ascii="Times New Roman" w:hAnsi="Times New Roman" w:cs="Times New Roman"/>
          <w:sz w:val="24"/>
          <w:szCs w:val="24"/>
        </w:rPr>
        <w:t>IACHR especially</w:t>
      </w:r>
      <w:r w:rsidR="007F472C" w:rsidRPr="006412ED">
        <w:rPr>
          <w:rFonts w:ascii="Times New Roman" w:hAnsi="Times New Roman" w:cs="Times New Roman"/>
          <w:sz w:val="24"/>
          <w:szCs w:val="24"/>
        </w:rPr>
        <w:t xml:space="preserve"> has contributed to a growing body of jurisprudence on indigenous rights in relation to land rights and natural resources.</w:t>
      </w:r>
      <w:r w:rsidR="00204215" w:rsidRPr="006412ED">
        <w:rPr>
          <w:rFonts w:ascii="Times New Roman" w:hAnsi="Times New Roman" w:cs="Times New Roman"/>
          <w:sz w:val="24"/>
          <w:szCs w:val="24"/>
        </w:rPr>
        <w:t xml:space="preserve"> </w:t>
      </w:r>
      <w:r w:rsidR="007F472C" w:rsidRPr="006412ED">
        <w:rPr>
          <w:rFonts w:ascii="Times New Roman" w:hAnsi="Times New Roman" w:cs="Times New Roman"/>
          <w:sz w:val="24"/>
          <w:szCs w:val="24"/>
        </w:rPr>
        <w:t xml:space="preserve"> </w:t>
      </w:r>
    </w:p>
    <w:p w:rsidR="007F472C" w:rsidRPr="006412ED" w:rsidRDefault="00860781" w:rsidP="00060EEC">
      <w:pPr>
        <w:spacing w:line="360" w:lineRule="auto"/>
        <w:ind w:firstLine="720"/>
        <w:rPr>
          <w:rStyle w:val="itemtitle"/>
        </w:rPr>
      </w:pPr>
      <w:r w:rsidRPr="006412ED">
        <w:rPr>
          <w:rFonts w:ascii="Times New Roman" w:hAnsi="Times New Roman" w:cs="Times New Roman"/>
          <w:sz w:val="24"/>
          <w:szCs w:val="24"/>
        </w:rPr>
        <w:t>A more recent</w:t>
      </w:r>
      <w:r w:rsidR="007F472C" w:rsidRPr="006412ED">
        <w:rPr>
          <w:rFonts w:ascii="Times New Roman" w:hAnsi="Times New Roman" w:cs="Times New Roman"/>
          <w:sz w:val="24"/>
          <w:szCs w:val="24"/>
        </w:rPr>
        <w:t xml:space="preserve"> example is that of the case of </w:t>
      </w:r>
      <w:r w:rsidR="007F472C" w:rsidRPr="006412ED">
        <w:rPr>
          <w:rStyle w:val="itemtitle"/>
          <w:rFonts w:ascii="Times New Roman" w:hAnsi="Times New Roman" w:cs="Times New Roman"/>
          <w:i/>
          <w:sz w:val="24"/>
          <w:szCs w:val="24"/>
        </w:rPr>
        <w:t xml:space="preserve">Sawhoyamaxa Indigenous Community of the Enxet-Lengua people v Paraguay </w:t>
      </w:r>
      <w:r w:rsidR="007F472C" w:rsidRPr="006412ED">
        <w:rPr>
          <w:rStyle w:val="itemtitle"/>
          <w:rFonts w:ascii="Times New Roman" w:hAnsi="Times New Roman" w:cs="Times New Roman"/>
          <w:sz w:val="24"/>
          <w:szCs w:val="24"/>
        </w:rPr>
        <w:t>in 2006</w:t>
      </w:r>
      <w:r w:rsidR="007F472C" w:rsidRPr="006412ED">
        <w:rPr>
          <w:rStyle w:val="itemtitle"/>
          <w:rFonts w:ascii="Times New Roman" w:hAnsi="Times New Roman" w:cs="Times New Roman"/>
          <w:i/>
          <w:sz w:val="24"/>
          <w:szCs w:val="24"/>
        </w:rPr>
        <w:t>.</w:t>
      </w:r>
      <w:r w:rsidR="007F472C" w:rsidRPr="006412ED">
        <w:rPr>
          <w:rStyle w:val="FootnoteReference"/>
          <w:rFonts w:ascii="Times New Roman" w:hAnsi="Times New Roman" w:cs="Times New Roman"/>
          <w:sz w:val="24"/>
          <w:szCs w:val="24"/>
        </w:rPr>
        <w:footnoteReference w:id="230"/>
      </w:r>
      <w:r w:rsidR="007F472C" w:rsidRPr="006412ED">
        <w:rPr>
          <w:rStyle w:val="itemtitle"/>
          <w:rFonts w:ascii="Times New Roman" w:hAnsi="Times New Roman" w:cs="Times New Roman"/>
          <w:i/>
          <w:sz w:val="24"/>
          <w:szCs w:val="24"/>
        </w:rPr>
        <w:t xml:space="preserve"> </w:t>
      </w:r>
      <w:r w:rsidR="007F472C" w:rsidRPr="006412ED">
        <w:rPr>
          <w:rStyle w:val="itemtitle"/>
          <w:rFonts w:ascii="Times New Roman" w:hAnsi="Times New Roman" w:cs="Times New Roman"/>
          <w:sz w:val="24"/>
          <w:szCs w:val="24"/>
        </w:rPr>
        <w:t>The case, which touches on a number of crucial issues concerning displacement, involves a small indigenous community of a few hundred people who although historically a nomadic peoples, have now been sedentarised as a result of the introduction of a market economy into their territories since the late 19</w:t>
      </w:r>
      <w:r w:rsidR="007F472C" w:rsidRPr="006412ED">
        <w:rPr>
          <w:rStyle w:val="itemtitle"/>
          <w:rFonts w:ascii="Times New Roman" w:hAnsi="Times New Roman" w:cs="Times New Roman"/>
          <w:sz w:val="24"/>
          <w:szCs w:val="24"/>
          <w:vertAlign w:val="superscript"/>
        </w:rPr>
        <w:t>th</w:t>
      </w:r>
      <w:r w:rsidR="007F472C" w:rsidRPr="006412ED">
        <w:rPr>
          <w:rStyle w:val="itemtitle"/>
          <w:rFonts w:ascii="Times New Roman" w:hAnsi="Times New Roman" w:cs="Times New Roman"/>
          <w:sz w:val="24"/>
          <w:szCs w:val="24"/>
        </w:rPr>
        <w:t xml:space="preserve"> century.</w:t>
      </w:r>
      <w:r w:rsidR="007F472C" w:rsidRPr="006412ED">
        <w:rPr>
          <w:rStyle w:val="FootnoteReference"/>
          <w:rFonts w:ascii="Times New Roman" w:hAnsi="Times New Roman" w:cs="Times New Roman"/>
          <w:sz w:val="24"/>
          <w:szCs w:val="24"/>
        </w:rPr>
        <w:footnoteReference w:id="231"/>
      </w:r>
      <w:r w:rsidR="007F472C" w:rsidRPr="006412ED">
        <w:rPr>
          <w:rStyle w:val="itemtitle"/>
          <w:rFonts w:ascii="Times New Roman" w:hAnsi="Times New Roman" w:cs="Times New Roman"/>
          <w:sz w:val="24"/>
          <w:szCs w:val="24"/>
        </w:rPr>
        <w:t xml:space="preserve"> As a result of the transfer of their lands to private owners they were denied access to their traditional lands and subsistence livelihoods, a turn of events which lead to their displacement and subsequent impoverishment.</w:t>
      </w:r>
      <w:r w:rsidR="007F472C" w:rsidRPr="006412ED">
        <w:rPr>
          <w:rStyle w:val="FootnoteReference"/>
          <w:rFonts w:ascii="Times New Roman" w:hAnsi="Times New Roman" w:cs="Times New Roman"/>
          <w:sz w:val="24"/>
          <w:szCs w:val="24"/>
        </w:rPr>
        <w:footnoteReference w:id="232"/>
      </w:r>
      <w:r w:rsidR="007F472C" w:rsidRPr="006412ED">
        <w:rPr>
          <w:rStyle w:val="itemtitle"/>
          <w:rFonts w:ascii="Times New Roman" w:hAnsi="Times New Roman" w:cs="Times New Roman"/>
          <w:sz w:val="24"/>
          <w:szCs w:val="24"/>
        </w:rPr>
        <w:t xml:space="preserve"> The community, after exhausting domestic remedies in relation to claiming their traditional lands and natural resources, brought a petition filed against the Paraguayan state to the IACHR claiming the state had violated a number of articles of the Inter-American Convention on Human Rights.  </w:t>
      </w:r>
    </w:p>
    <w:p w:rsidR="007F472C" w:rsidRPr="006412ED" w:rsidRDefault="00060EEC" w:rsidP="006412ED">
      <w:pPr>
        <w:tabs>
          <w:tab w:val="left" w:pos="1080"/>
        </w:tabs>
        <w:spacing w:line="360" w:lineRule="auto"/>
        <w:ind w:right="720"/>
        <w:rPr>
          <w:rFonts w:ascii="Times New Roman" w:hAnsi="Times New Roman" w:cs="Times New Roman"/>
          <w:sz w:val="24"/>
          <w:szCs w:val="24"/>
        </w:rPr>
      </w:pPr>
      <w:r>
        <w:rPr>
          <w:rStyle w:val="itemtitle"/>
          <w:rFonts w:ascii="Times New Roman" w:hAnsi="Times New Roman" w:cs="Times New Roman"/>
          <w:sz w:val="24"/>
          <w:szCs w:val="24"/>
        </w:rPr>
        <w:tab/>
      </w:r>
      <w:r w:rsidR="007F472C" w:rsidRPr="006412ED">
        <w:rPr>
          <w:rStyle w:val="itemtitle"/>
          <w:rFonts w:ascii="Times New Roman" w:hAnsi="Times New Roman" w:cs="Times New Roman"/>
          <w:sz w:val="24"/>
          <w:szCs w:val="24"/>
        </w:rPr>
        <w:t xml:space="preserve">The </w:t>
      </w:r>
      <w:r w:rsidR="00C073A8" w:rsidRPr="006412ED">
        <w:rPr>
          <w:rStyle w:val="itemtitle"/>
          <w:rFonts w:ascii="Times New Roman" w:hAnsi="Times New Roman" w:cs="Times New Roman"/>
          <w:sz w:val="24"/>
          <w:szCs w:val="24"/>
        </w:rPr>
        <w:t>Co</w:t>
      </w:r>
      <w:r w:rsidR="00C073A8">
        <w:rPr>
          <w:rStyle w:val="itemtitle"/>
          <w:rFonts w:ascii="Times New Roman" w:hAnsi="Times New Roman" w:cs="Times New Roman"/>
          <w:sz w:val="24"/>
          <w:szCs w:val="24"/>
        </w:rPr>
        <w:t xml:space="preserve">mmission </w:t>
      </w:r>
      <w:r w:rsidR="007F472C" w:rsidRPr="006412ED">
        <w:rPr>
          <w:rStyle w:val="itemtitle"/>
          <w:rFonts w:ascii="Times New Roman" w:hAnsi="Times New Roman" w:cs="Times New Roman"/>
          <w:sz w:val="24"/>
          <w:szCs w:val="24"/>
        </w:rPr>
        <w:t>found that Paraguay, amongst other violations including Article 4 (right to life), had violated the property rights of the Sahoyamaxa Indigenous Community under Article 21 of the American Convention on Human Rights.</w:t>
      </w:r>
      <w:r w:rsidR="007F472C" w:rsidRPr="006412ED">
        <w:rPr>
          <w:rStyle w:val="FootnoteReference"/>
          <w:rFonts w:ascii="Times New Roman" w:hAnsi="Times New Roman" w:cs="Times New Roman"/>
          <w:sz w:val="24"/>
          <w:szCs w:val="24"/>
        </w:rPr>
        <w:footnoteReference w:id="233"/>
      </w:r>
      <w:r w:rsidR="007F472C" w:rsidRPr="006412ED">
        <w:rPr>
          <w:rStyle w:val="itemtitle"/>
          <w:rFonts w:ascii="Times New Roman" w:hAnsi="Times New Roman" w:cs="Times New Roman"/>
          <w:sz w:val="24"/>
          <w:szCs w:val="24"/>
        </w:rPr>
        <w:t xml:space="preserve">  Article 21 (1) states that, “</w:t>
      </w:r>
      <w:r w:rsidR="007F472C" w:rsidRPr="006412ED">
        <w:rPr>
          <w:rFonts w:ascii="Times New Roman" w:hAnsi="Times New Roman" w:cs="Times New Roman"/>
          <w:sz w:val="24"/>
          <w:szCs w:val="24"/>
        </w:rPr>
        <w:t>Everyone has the right to the use and enjoyment of his property. The law may subordinate such use and enjoyment to the interest of society.”</w:t>
      </w:r>
      <w:r w:rsidR="007F472C" w:rsidRPr="006412ED">
        <w:rPr>
          <w:rStyle w:val="FootnoteReference"/>
          <w:rFonts w:ascii="Times New Roman" w:hAnsi="Times New Roman" w:cs="Times New Roman"/>
          <w:sz w:val="24"/>
          <w:szCs w:val="24"/>
        </w:rPr>
        <w:footnoteReference w:id="234"/>
      </w:r>
      <w:r w:rsidR="007F472C" w:rsidRPr="006412ED">
        <w:rPr>
          <w:rFonts w:ascii="Times New Roman" w:hAnsi="Times New Roman" w:cs="Times New Roman"/>
          <w:sz w:val="24"/>
          <w:szCs w:val="24"/>
        </w:rPr>
        <w:t xml:space="preserve"> The language of the above Article is similar in sentiment and scope to Principle 6 subparagraph (c) of the Guiding Principles,</w:t>
      </w:r>
      <w:r w:rsidR="007F472C" w:rsidRPr="006412ED">
        <w:rPr>
          <w:rStyle w:val="FootnoteReference"/>
          <w:rFonts w:ascii="Times New Roman" w:hAnsi="Times New Roman" w:cs="Times New Roman"/>
          <w:sz w:val="24"/>
          <w:szCs w:val="24"/>
        </w:rPr>
        <w:footnoteReference w:id="235"/>
      </w:r>
      <w:r w:rsidR="007F472C" w:rsidRPr="006412ED">
        <w:rPr>
          <w:rFonts w:ascii="Times New Roman" w:hAnsi="Times New Roman" w:cs="Times New Roman"/>
          <w:sz w:val="24"/>
          <w:szCs w:val="24"/>
        </w:rPr>
        <w:t xml:space="preserve"> and other similar provisions in international law, in that as much as it provides a right to property or a right not to be arbitrarily displaced from a property or house or home, it also inserts a public interest clause limiting and qualifying that right to property.  Therefore the necessity of this “compelling and overriding public interest” clause permits the state at least in certain circumstances the right to displace a group of peoples from their communal property in the name of development, amongst other reasons. In a democratic society however, as the Court noted, the legality, necessity and proportionality of such an action in favour of the public interest and the public benefit, must be weighed against the rights and freedoms of indigenous peoples.</w:t>
      </w:r>
      <w:r w:rsidR="007F472C" w:rsidRPr="006412ED">
        <w:rPr>
          <w:rStyle w:val="FootnoteReference"/>
          <w:rFonts w:ascii="Times New Roman" w:hAnsi="Times New Roman" w:cs="Times New Roman"/>
          <w:sz w:val="24"/>
          <w:szCs w:val="24"/>
        </w:rPr>
        <w:footnoteReference w:id="236"/>
      </w:r>
      <w:r w:rsidR="007F472C" w:rsidRPr="006412ED">
        <w:rPr>
          <w:rFonts w:ascii="Times New Roman" w:hAnsi="Times New Roman" w:cs="Times New Roman"/>
          <w:sz w:val="24"/>
          <w:szCs w:val="24"/>
        </w:rPr>
        <w:t xml:space="preserve">    </w:t>
      </w:r>
    </w:p>
    <w:p w:rsidR="007F472C" w:rsidRPr="006412ED" w:rsidRDefault="00060EEC" w:rsidP="006412ED">
      <w:pPr>
        <w:tabs>
          <w:tab w:val="left" w:pos="1080"/>
        </w:tabs>
        <w:spacing w:line="360" w:lineRule="auto"/>
        <w:ind w:right="720"/>
        <w:rPr>
          <w:rStyle w:val="itemtitle"/>
        </w:rPr>
      </w:pPr>
      <w:r>
        <w:rPr>
          <w:rStyle w:val="itemtitle"/>
          <w:rFonts w:ascii="Times New Roman" w:hAnsi="Times New Roman" w:cs="Times New Roman"/>
          <w:sz w:val="24"/>
          <w:szCs w:val="24"/>
        </w:rPr>
        <w:tab/>
      </w:r>
      <w:r w:rsidR="007F472C" w:rsidRPr="006412ED">
        <w:rPr>
          <w:rStyle w:val="itemtitle"/>
          <w:rFonts w:ascii="Times New Roman" w:hAnsi="Times New Roman" w:cs="Times New Roman"/>
          <w:sz w:val="24"/>
          <w:szCs w:val="24"/>
        </w:rPr>
        <w:t>The Court’s judgement took into consideration the close cultural ties to lands and territories and the collective understanding of property and possession which indigenous people have, which reflects their communal way of acting and perceiving in the world, their religious outlook, the means by which they practice their livelihoods; in summary, all of the above can be said to be a composite of their cultural identity.</w:t>
      </w:r>
      <w:r w:rsidR="007F472C" w:rsidRPr="006412ED">
        <w:rPr>
          <w:rStyle w:val="FootnoteReference"/>
          <w:rFonts w:ascii="Times New Roman" w:hAnsi="Times New Roman" w:cs="Times New Roman"/>
          <w:sz w:val="24"/>
          <w:szCs w:val="24"/>
        </w:rPr>
        <w:footnoteReference w:id="237"/>
      </w:r>
      <w:r w:rsidR="007F472C" w:rsidRPr="006412ED">
        <w:rPr>
          <w:rStyle w:val="itemtitle"/>
          <w:rFonts w:ascii="Times New Roman" w:hAnsi="Times New Roman" w:cs="Times New Roman"/>
          <w:sz w:val="24"/>
          <w:szCs w:val="24"/>
        </w:rPr>
        <w:t xml:space="preserve">  In this connection, the court in analysing the content and scope of Article 21 also took into consideration </w:t>
      </w:r>
      <w:r w:rsidR="00ED0F8D" w:rsidRPr="006412ED">
        <w:rPr>
          <w:rStyle w:val="itemtitle"/>
          <w:rFonts w:ascii="Times New Roman" w:hAnsi="Times New Roman" w:cs="Times New Roman"/>
          <w:sz w:val="24"/>
          <w:szCs w:val="24"/>
        </w:rPr>
        <w:t>ILO</w:t>
      </w:r>
      <w:r w:rsidR="007F472C" w:rsidRPr="006412ED">
        <w:rPr>
          <w:rStyle w:val="itemtitle"/>
          <w:rFonts w:ascii="Times New Roman" w:hAnsi="Times New Roman" w:cs="Times New Roman"/>
          <w:sz w:val="24"/>
          <w:szCs w:val="24"/>
        </w:rPr>
        <w:t xml:space="preserve"> 169</w:t>
      </w:r>
      <w:r w:rsidR="00ED0F8D" w:rsidRPr="006412ED">
        <w:rPr>
          <w:rStyle w:val="itemtitle"/>
          <w:rFonts w:ascii="Times New Roman" w:hAnsi="Times New Roman" w:cs="Times New Roman"/>
          <w:sz w:val="24"/>
          <w:szCs w:val="24"/>
        </w:rPr>
        <w:t>.</w:t>
      </w:r>
    </w:p>
    <w:p w:rsidR="007F472C" w:rsidRPr="006412ED" w:rsidRDefault="00060EEC" w:rsidP="006412ED">
      <w:pPr>
        <w:tabs>
          <w:tab w:val="left" w:pos="1080"/>
        </w:tabs>
        <w:spacing w:line="360" w:lineRule="auto"/>
        <w:ind w:right="720"/>
        <w:rPr>
          <w:rStyle w:val="itemtitle"/>
        </w:rPr>
      </w:pPr>
      <w:r>
        <w:rPr>
          <w:rStyle w:val="itemtitle"/>
          <w:rFonts w:ascii="Times New Roman" w:hAnsi="Times New Roman" w:cs="Times New Roman"/>
          <w:sz w:val="24"/>
          <w:szCs w:val="24"/>
        </w:rPr>
        <w:tab/>
      </w:r>
      <w:r w:rsidR="00ED0F8D" w:rsidRPr="00C073A8">
        <w:rPr>
          <w:rStyle w:val="itemtitle"/>
          <w:rFonts w:ascii="Times New Roman" w:hAnsi="Times New Roman" w:cs="Times New Roman"/>
          <w:sz w:val="24"/>
          <w:szCs w:val="24"/>
        </w:rPr>
        <w:t>It</w:t>
      </w:r>
      <w:r w:rsidR="007F472C" w:rsidRPr="00C073A8">
        <w:rPr>
          <w:rStyle w:val="itemtitle"/>
          <w:rFonts w:ascii="Times New Roman" w:hAnsi="Times New Roman" w:cs="Times New Roman"/>
          <w:sz w:val="24"/>
          <w:szCs w:val="24"/>
        </w:rPr>
        <w:t xml:space="preserve"> is of interest to note that the </w:t>
      </w:r>
      <w:r w:rsidR="00C073A8" w:rsidRPr="00C073A8">
        <w:rPr>
          <w:rStyle w:val="itemtitle"/>
          <w:rFonts w:ascii="Times New Roman" w:hAnsi="Times New Roman" w:cs="Times New Roman"/>
          <w:sz w:val="24"/>
          <w:szCs w:val="24"/>
        </w:rPr>
        <w:t>Commission</w:t>
      </w:r>
      <w:r w:rsidR="007F472C" w:rsidRPr="00C073A8">
        <w:rPr>
          <w:rStyle w:val="itemtitle"/>
          <w:rFonts w:ascii="Times New Roman" w:hAnsi="Times New Roman" w:cs="Times New Roman"/>
          <w:sz w:val="24"/>
          <w:szCs w:val="24"/>
        </w:rPr>
        <w:t>, in</w:t>
      </w:r>
      <w:r w:rsidR="007F472C" w:rsidRPr="006412ED">
        <w:rPr>
          <w:rStyle w:val="itemtitle"/>
          <w:rFonts w:ascii="Times New Roman" w:hAnsi="Times New Roman" w:cs="Times New Roman"/>
          <w:sz w:val="24"/>
          <w:szCs w:val="24"/>
        </w:rPr>
        <w:t xml:space="preserve"> considering Article 13 of the ILO Convention, which states that governments must respect the special importance that indigenous people’s cultures place on land and territory</w:t>
      </w:r>
      <w:r w:rsidR="00427059" w:rsidRPr="006412ED">
        <w:rPr>
          <w:rStyle w:val="itemtitle"/>
          <w:rFonts w:ascii="Times New Roman" w:hAnsi="Times New Roman" w:cs="Times New Roman"/>
          <w:sz w:val="24"/>
          <w:szCs w:val="24"/>
        </w:rPr>
        <w:t>, argues</w:t>
      </w:r>
      <w:r w:rsidR="007F472C" w:rsidRPr="006412ED">
        <w:rPr>
          <w:rStyle w:val="itemtitle"/>
          <w:rFonts w:ascii="Times New Roman" w:hAnsi="Times New Roman" w:cs="Times New Roman"/>
          <w:sz w:val="24"/>
          <w:szCs w:val="24"/>
        </w:rPr>
        <w:t xml:space="preserve"> that: </w:t>
      </w:r>
    </w:p>
    <w:p w:rsidR="007F472C" w:rsidRPr="006412ED" w:rsidRDefault="007F472C" w:rsidP="006412ED">
      <w:pPr>
        <w:tabs>
          <w:tab w:val="left" w:pos="1080"/>
        </w:tabs>
        <w:spacing w:line="360" w:lineRule="auto"/>
        <w:ind w:left="720" w:right="720"/>
        <w:rPr>
          <w:rStyle w:val="itemtitle"/>
        </w:rPr>
      </w:pPr>
      <w:r w:rsidRPr="006412ED">
        <w:rPr>
          <w:rStyle w:val="itemtitle"/>
          <w:rFonts w:ascii="Times New Roman" w:hAnsi="Times New Roman" w:cs="Times New Roman"/>
          <w:sz w:val="24"/>
          <w:szCs w:val="24"/>
        </w:rPr>
        <w:t>“[</w:t>
      </w:r>
      <w:r w:rsidRPr="006412ED">
        <w:rPr>
          <w:rFonts w:ascii="Times New Roman" w:hAnsi="Times New Roman" w:cs="Times New Roman"/>
          <w:sz w:val="24"/>
          <w:szCs w:val="24"/>
          <w:lang w:eastAsia="en-US"/>
        </w:rPr>
        <w:t>I]ndigenous communities might have a collective understanding of the concepts of property and possession, in the sense that ownership of the land is not centered on an individual but rather on the group and its community. This notion of ownership and possession of land does not necessarily conform to the classic concept of property, but deserves equal protection under Article 21 of the American Convention.”</w:t>
      </w:r>
      <w:r w:rsidRPr="006412ED">
        <w:rPr>
          <w:rStyle w:val="FootnoteReference"/>
          <w:rFonts w:ascii="Times New Roman" w:hAnsi="Times New Roman" w:cs="Times New Roman"/>
          <w:sz w:val="24"/>
          <w:szCs w:val="24"/>
          <w:lang w:eastAsia="en-US"/>
        </w:rPr>
        <w:footnoteReference w:id="238"/>
      </w:r>
    </w:p>
    <w:p w:rsidR="007F472C" w:rsidRPr="006412ED" w:rsidRDefault="007F472C" w:rsidP="006412ED">
      <w:pPr>
        <w:spacing w:line="360" w:lineRule="auto"/>
        <w:rPr>
          <w:rStyle w:val="itemtitle"/>
        </w:rPr>
      </w:pPr>
      <w:r w:rsidRPr="006412ED">
        <w:rPr>
          <w:rStyle w:val="itemtitle"/>
          <w:rFonts w:ascii="Times New Roman" w:hAnsi="Times New Roman" w:cs="Times New Roman"/>
          <w:sz w:val="24"/>
          <w:szCs w:val="24"/>
        </w:rPr>
        <w:t xml:space="preserve">This line of reasoning by the </w:t>
      </w:r>
      <w:r w:rsidR="00C073A8">
        <w:rPr>
          <w:rStyle w:val="itemtitle"/>
          <w:rFonts w:ascii="Times New Roman" w:hAnsi="Times New Roman" w:cs="Times New Roman"/>
          <w:sz w:val="24"/>
          <w:szCs w:val="24"/>
        </w:rPr>
        <w:t>Commissio</w:t>
      </w:r>
      <w:r w:rsidRPr="006412ED">
        <w:rPr>
          <w:rStyle w:val="itemtitle"/>
          <w:rFonts w:ascii="Times New Roman" w:hAnsi="Times New Roman" w:cs="Times New Roman"/>
          <w:sz w:val="24"/>
          <w:szCs w:val="24"/>
        </w:rPr>
        <w:t xml:space="preserve"> reflects a growing cognisance in international human rights law, and jurisprudence, not only of the importance in a collective sense of indigenous ownership, and a temporal and spiritual affiliation with land and territories, but also, by inference, recognising that if indigenous groups are displaced, then it follows that their dispossession will have a detrimental if not fatal effect on the group’s communal cultural identity. In other words, their communal identity is intricately linked to a sense of place, and that sense of place is the basis for their cultural identity. Therefore displacement and its egregious consequences for indigenous peoples and nomadic groups has been recognised as the previous discussion illustrates, by two of the most important regional human rights courts-the European Court of Human Rights and the </w:t>
      </w:r>
      <w:r w:rsidRPr="006412ED">
        <w:rPr>
          <w:rFonts w:ascii="Times New Roman" w:hAnsi="Times New Roman" w:cs="Times New Roman"/>
          <w:sz w:val="24"/>
          <w:szCs w:val="24"/>
        </w:rPr>
        <w:t xml:space="preserve">Inter-American Court of Human Rights. </w:t>
      </w:r>
      <w:r w:rsidRPr="006412ED">
        <w:rPr>
          <w:rStyle w:val="itemtitle"/>
          <w:rFonts w:ascii="Times New Roman" w:hAnsi="Times New Roman" w:cs="Times New Roman"/>
          <w:sz w:val="24"/>
          <w:szCs w:val="24"/>
        </w:rPr>
        <w:t xml:space="preserve"> </w:t>
      </w:r>
    </w:p>
    <w:p w:rsidR="00060EEC" w:rsidRDefault="009D6EE2" w:rsidP="006412ED">
      <w:pPr>
        <w:spacing w:line="360" w:lineRule="auto"/>
        <w:rPr>
          <w:rStyle w:val="Heading3Char"/>
        </w:rPr>
      </w:pPr>
      <w:bookmarkStart w:id="41" w:name="_Toc399848373"/>
      <w:r w:rsidRPr="003D1606">
        <w:rPr>
          <w:rStyle w:val="Heading3Char"/>
        </w:rPr>
        <w:t xml:space="preserve">6.5.1 </w:t>
      </w:r>
      <w:r w:rsidR="00FC0EA3" w:rsidRPr="003D1606">
        <w:rPr>
          <w:rStyle w:val="Heading3Char"/>
        </w:rPr>
        <w:t>The Mayagna (Sumo) Awas Tingni Community v. Nicaragua</w:t>
      </w:r>
      <w:bookmarkEnd w:id="41"/>
      <w:r w:rsidR="003D1606">
        <w:rPr>
          <w:rStyle w:val="Heading3Char"/>
        </w:rPr>
        <w:t xml:space="preserve"> </w:t>
      </w:r>
    </w:p>
    <w:p w:rsidR="00131FC8" w:rsidRPr="006412ED" w:rsidRDefault="007F472C" w:rsidP="00060EEC">
      <w:pPr>
        <w:spacing w:line="360" w:lineRule="auto"/>
        <w:ind w:firstLine="720"/>
        <w:rPr>
          <w:rStyle w:val="itemtitle"/>
        </w:rPr>
      </w:pPr>
      <w:r w:rsidRPr="006412ED">
        <w:rPr>
          <w:rStyle w:val="itemtitle"/>
          <w:rFonts w:ascii="Times New Roman" w:hAnsi="Times New Roman" w:cs="Times New Roman"/>
          <w:sz w:val="24"/>
          <w:szCs w:val="24"/>
        </w:rPr>
        <w:t>Indeed, as James Anaya and Claudio Grossman have pointed out in respect of the</w:t>
      </w:r>
      <w:r w:rsidR="00C073A8">
        <w:rPr>
          <w:rStyle w:val="itemtitle"/>
          <w:rFonts w:ascii="Times New Roman" w:hAnsi="Times New Roman" w:cs="Times New Roman"/>
          <w:sz w:val="24"/>
          <w:szCs w:val="24"/>
        </w:rPr>
        <w:t xml:space="preserve"> Inter-American Court of Human Rights </w:t>
      </w:r>
      <w:r w:rsidRPr="006412ED">
        <w:rPr>
          <w:rStyle w:val="itemtitle"/>
          <w:rFonts w:ascii="Times New Roman" w:hAnsi="Times New Roman" w:cs="Times New Roman"/>
          <w:sz w:val="24"/>
          <w:szCs w:val="24"/>
        </w:rPr>
        <w:t xml:space="preserve"> </w:t>
      </w:r>
      <w:r w:rsidRPr="00C073A8">
        <w:rPr>
          <w:rStyle w:val="itemtitle"/>
          <w:rFonts w:ascii="Times New Roman" w:hAnsi="Times New Roman" w:cs="Times New Roman"/>
          <w:sz w:val="24"/>
          <w:szCs w:val="24"/>
        </w:rPr>
        <w:t>judgement</w:t>
      </w:r>
      <w:r w:rsidRPr="006412ED">
        <w:rPr>
          <w:rStyle w:val="itemtitle"/>
          <w:rFonts w:ascii="Times New Roman" w:hAnsi="Times New Roman" w:cs="Times New Roman"/>
          <w:sz w:val="24"/>
          <w:szCs w:val="24"/>
        </w:rPr>
        <w:t xml:space="preserve"> on </w:t>
      </w:r>
      <w:r w:rsidRPr="006412ED">
        <w:rPr>
          <w:rFonts w:ascii="Times New Roman" w:hAnsi="Times New Roman" w:cs="Times New Roman"/>
          <w:bCs/>
          <w:i/>
          <w:color w:val="000000"/>
          <w:sz w:val="24"/>
          <w:szCs w:val="24"/>
          <w:shd w:val="clear" w:color="auto" w:fill="FFFFFF"/>
        </w:rPr>
        <w:t>The Mayagna (Sumo) Awas Tingni Community v. Nicaragua,</w:t>
      </w:r>
      <w:r w:rsidR="00395DD8" w:rsidRPr="006412ED">
        <w:rPr>
          <w:rStyle w:val="FootnoteReference"/>
          <w:rFonts w:ascii="Times New Roman" w:hAnsi="Times New Roman" w:cs="Times New Roman"/>
          <w:bCs/>
          <w:color w:val="000000"/>
          <w:sz w:val="24"/>
          <w:szCs w:val="24"/>
          <w:shd w:val="clear" w:color="auto" w:fill="FFFFFF"/>
        </w:rPr>
        <w:t xml:space="preserve"> </w:t>
      </w:r>
      <w:r w:rsidR="00395DD8" w:rsidRPr="006412ED">
        <w:rPr>
          <w:rStyle w:val="FootnoteReference"/>
          <w:rFonts w:ascii="Times New Roman" w:hAnsi="Times New Roman" w:cs="Times New Roman"/>
          <w:bCs/>
          <w:color w:val="000000"/>
          <w:sz w:val="24"/>
          <w:szCs w:val="24"/>
          <w:shd w:val="clear" w:color="auto" w:fill="FFFFFF"/>
        </w:rPr>
        <w:footnoteReference w:id="239"/>
      </w:r>
      <w:r w:rsidR="00395DD8" w:rsidRPr="006412ED">
        <w:rPr>
          <w:rStyle w:val="itemtitle"/>
          <w:rFonts w:ascii="Times New Roman" w:hAnsi="Times New Roman" w:cs="Times New Roman"/>
          <w:sz w:val="24"/>
          <w:szCs w:val="24"/>
        </w:rPr>
        <w:t xml:space="preserve"> an international legal precedent had already been set when the Court also ruled under Article 21</w:t>
      </w:r>
      <w:r w:rsidR="00395DD8" w:rsidRPr="006412ED">
        <w:rPr>
          <w:rStyle w:val="itemtitle"/>
          <w:rFonts w:ascii="Times New Roman" w:hAnsi="Times New Roman" w:cs="Times New Roman"/>
          <w:color w:val="FF0000"/>
          <w:sz w:val="24"/>
          <w:szCs w:val="24"/>
        </w:rPr>
        <w:t xml:space="preserve"> </w:t>
      </w:r>
      <w:r w:rsidR="00395DD8" w:rsidRPr="006412ED">
        <w:rPr>
          <w:rStyle w:val="itemtitle"/>
          <w:rFonts w:ascii="Times New Roman" w:hAnsi="Times New Roman" w:cs="Times New Roman"/>
          <w:sz w:val="24"/>
          <w:szCs w:val="24"/>
        </w:rPr>
        <w:t xml:space="preserve">of the Convention that for the </w:t>
      </w:r>
      <w:r w:rsidR="00395DD8" w:rsidRPr="006412ED">
        <w:rPr>
          <w:rFonts w:ascii="Times New Roman" w:hAnsi="Times New Roman" w:cs="Times New Roman"/>
          <w:bCs/>
          <w:color w:val="000000"/>
          <w:sz w:val="24"/>
          <w:szCs w:val="24"/>
          <w:shd w:val="clear" w:color="auto" w:fill="FFFFFF"/>
        </w:rPr>
        <w:t>Awas Tingni</w:t>
      </w:r>
      <w:r w:rsidR="00395DD8" w:rsidRPr="006412ED">
        <w:rPr>
          <w:rStyle w:val="itemtitle"/>
          <w:rFonts w:ascii="Times New Roman" w:hAnsi="Times New Roman" w:cs="Times New Roman"/>
          <w:sz w:val="24"/>
          <w:szCs w:val="24"/>
        </w:rPr>
        <w:t xml:space="preserve"> community the human right to enjoy the benefits of property, “[I]ncludes the right of [all] indigenous peoples to the protection of their customary land and resource tenure.”</w:t>
      </w:r>
      <w:r w:rsidR="00395DD8" w:rsidRPr="006412ED">
        <w:rPr>
          <w:rStyle w:val="FootnoteReference"/>
          <w:rFonts w:ascii="Times New Roman" w:hAnsi="Times New Roman" w:cs="Times New Roman"/>
          <w:sz w:val="24"/>
          <w:szCs w:val="24"/>
        </w:rPr>
        <w:footnoteReference w:id="240"/>
      </w:r>
      <w:r w:rsidR="00395DD8" w:rsidRPr="006412ED">
        <w:rPr>
          <w:rStyle w:val="itemtitle"/>
          <w:rFonts w:ascii="Times New Roman" w:hAnsi="Times New Roman" w:cs="Times New Roman"/>
          <w:sz w:val="24"/>
          <w:szCs w:val="24"/>
        </w:rPr>
        <w:t xml:space="preserve"> The Nicaraguan government had granted logging concessions on their lands, and had effectively ignored the community’s objections to the government’s policy.</w:t>
      </w:r>
      <w:r w:rsidR="00395DD8" w:rsidRPr="006412ED">
        <w:rPr>
          <w:rStyle w:val="FootnoteReference"/>
          <w:rFonts w:ascii="Times New Roman" w:hAnsi="Times New Roman" w:cs="Times New Roman"/>
          <w:sz w:val="24"/>
          <w:szCs w:val="24"/>
        </w:rPr>
        <w:footnoteReference w:id="241"/>
      </w:r>
    </w:p>
    <w:p w:rsidR="00395DD8" w:rsidRPr="006412ED" w:rsidRDefault="00131FC8" w:rsidP="00060EEC">
      <w:pPr>
        <w:spacing w:line="360" w:lineRule="auto"/>
        <w:ind w:firstLine="720"/>
        <w:rPr>
          <w:rStyle w:val="itemtitle"/>
        </w:rPr>
      </w:pPr>
      <w:r w:rsidRPr="006412ED">
        <w:rPr>
          <w:rStyle w:val="itemtitle"/>
          <w:rFonts w:ascii="Times New Roman" w:hAnsi="Times New Roman" w:cs="Times New Roman"/>
          <w:sz w:val="24"/>
          <w:szCs w:val="24"/>
        </w:rPr>
        <w:t xml:space="preserve">In sum, </w:t>
      </w:r>
      <w:r w:rsidR="00395DD8" w:rsidRPr="006412ED">
        <w:rPr>
          <w:rStyle w:val="itemtitle"/>
          <w:rFonts w:ascii="Times New Roman" w:hAnsi="Times New Roman" w:cs="Times New Roman"/>
          <w:sz w:val="24"/>
          <w:szCs w:val="24"/>
        </w:rPr>
        <w:t>S</w:t>
      </w:r>
      <w:r w:rsidRPr="006412ED">
        <w:rPr>
          <w:rStyle w:val="itemtitle"/>
          <w:rFonts w:ascii="Times New Roman" w:hAnsi="Times New Roman" w:cs="Times New Roman"/>
          <w:sz w:val="24"/>
          <w:szCs w:val="24"/>
        </w:rPr>
        <w:t>ignificantly</w:t>
      </w:r>
      <w:r w:rsidR="00395DD8" w:rsidRPr="006412ED">
        <w:rPr>
          <w:rStyle w:val="itemtitle"/>
          <w:rFonts w:ascii="Times New Roman" w:hAnsi="Times New Roman" w:cs="Times New Roman"/>
          <w:sz w:val="24"/>
          <w:szCs w:val="24"/>
        </w:rPr>
        <w:t xml:space="preserve"> </w:t>
      </w:r>
      <w:r w:rsidRPr="006412ED">
        <w:rPr>
          <w:rStyle w:val="itemtitle"/>
          <w:rFonts w:ascii="Times New Roman" w:hAnsi="Times New Roman" w:cs="Times New Roman"/>
          <w:sz w:val="24"/>
          <w:szCs w:val="24"/>
        </w:rPr>
        <w:t>the C</w:t>
      </w:r>
      <w:r w:rsidR="00395DD8" w:rsidRPr="006412ED">
        <w:rPr>
          <w:rStyle w:val="itemtitle"/>
          <w:rFonts w:ascii="Times New Roman" w:hAnsi="Times New Roman" w:cs="Times New Roman"/>
          <w:sz w:val="24"/>
          <w:szCs w:val="24"/>
        </w:rPr>
        <w:t xml:space="preserve">ourt’s ruling is of huge importance to the issue of indigenous people’s collective rights to their ancestral lands, and with apropos to the Court’s judgement in </w:t>
      </w:r>
      <w:r w:rsidR="00395DD8" w:rsidRPr="006412ED">
        <w:rPr>
          <w:rStyle w:val="itemtitle"/>
          <w:rFonts w:ascii="Times New Roman" w:hAnsi="Times New Roman" w:cs="Times New Roman"/>
          <w:i/>
          <w:sz w:val="24"/>
          <w:szCs w:val="24"/>
        </w:rPr>
        <w:t xml:space="preserve">Sawhoyamaxa Indigenous Community of the Enxet-Lengua people v Paraguay, </w:t>
      </w:r>
      <w:r w:rsidRPr="006412ED">
        <w:rPr>
          <w:rStyle w:val="itemtitle"/>
          <w:rFonts w:ascii="Times New Roman" w:hAnsi="Times New Roman" w:cs="Times New Roman"/>
          <w:sz w:val="24"/>
          <w:szCs w:val="24"/>
        </w:rPr>
        <w:t>both cases are critical in defending the right of indigenous peoples not to be displaced by development projects and policies.</w:t>
      </w:r>
      <w:r w:rsidR="00651FC7" w:rsidRPr="006412ED">
        <w:rPr>
          <w:rStyle w:val="FootnoteReference"/>
          <w:rFonts w:ascii="Times New Roman" w:hAnsi="Times New Roman" w:cs="Times New Roman"/>
          <w:sz w:val="24"/>
          <w:szCs w:val="24"/>
        </w:rPr>
        <w:footnoteReference w:id="242"/>
      </w:r>
      <w:r w:rsidRPr="006412ED">
        <w:rPr>
          <w:rStyle w:val="itemtitle"/>
          <w:rFonts w:ascii="Times New Roman" w:hAnsi="Times New Roman" w:cs="Times New Roman"/>
          <w:sz w:val="24"/>
          <w:szCs w:val="24"/>
        </w:rPr>
        <w:t xml:space="preserve"> </w:t>
      </w:r>
      <w:r w:rsidR="00CC0164" w:rsidRPr="006412ED">
        <w:rPr>
          <w:rStyle w:val="itemtitle"/>
          <w:rFonts w:ascii="Times New Roman" w:hAnsi="Times New Roman" w:cs="Times New Roman"/>
          <w:sz w:val="24"/>
          <w:szCs w:val="24"/>
        </w:rPr>
        <w:t>I</w:t>
      </w:r>
      <w:r w:rsidR="00395DD8" w:rsidRPr="006412ED">
        <w:rPr>
          <w:rStyle w:val="itemtitle"/>
          <w:rFonts w:ascii="Times New Roman" w:hAnsi="Times New Roman" w:cs="Times New Roman"/>
          <w:sz w:val="24"/>
          <w:szCs w:val="24"/>
        </w:rPr>
        <w:t xml:space="preserve">n both of the above cases the Court displayed similar reasoning, and in both judgements affirmed that the indigenous conception of ownership </w:t>
      </w:r>
      <w:r w:rsidR="00CC0164" w:rsidRPr="006412ED">
        <w:rPr>
          <w:rStyle w:val="itemtitle"/>
          <w:rFonts w:ascii="Times New Roman" w:hAnsi="Times New Roman" w:cs="Times New Roman"/>
          <w:sz w:val="24"/>
          <w:szCs w:val="24"/>
        </w:rPr>
        <w:t>and possession of land, that is</w:t>
      </w:r>
      <w:r w:rsidR="00395DD8" w:rsidRPr="006412ED">
        <w:rPr>
          <w:rStyle w:val="itemtitle"/>
          <w:rFonts w:ascii="Times New Roman" w:hAnsi="Times New Roman" w:cs="Times New Roman"/>
          <w:sz w:val="24"/>
          <w:szCs w:val="24"/>
        </w:rPr>
        <w:t xml:space="preserve"> communal ownership</w:t>
      </w:r>
      <w:r w:rsidR="00CC0164" w:rsidRPr="006412ED">
        <w:rPr>
          <w:rStyle w:val="itemtitle"/>
          <w:rFonts w:ascii="Times New Roman" w:hAnsi="Times New Roman" w:cs="Times New Roman"/>
          <w:sz w:val="24"/>
          <w:szCs w:val="24"/>
        </w:rPr>
        <w:t>,</w:t>
      </w:r>
      <w:r w:rsidR="00395DD8" w:rsidRPr="006412ED">
        <w:rPr>
          <w:rStyle w:val="itemtitle"/>
          <w:rFonts w:ascii="Times New Roman" w:hAnsi="Times New Roman" w:cs="Times New Roman"/>
          <w:sz w:val="24"/>
          <w:szCs w:val="24"/>
        </w:rPr>
        <w:t xml:space="preserve"> and not the classic European concept of private property rights based on individual ownership, deserves equal protection under Article 21 of the Convention. </w:t>
      </w:r>
      <w:r w:rsidRPr="006412ED">
        <w:rPr>
          <w:rStyle w:val="itemtitle"/>
          <w:rFonts w:ascii="Times New Roman" w:hAnsi="Times New Roman" w:cs="Times New Roman"/>
          <w:sz w:val="24"/>
          <w:szCs w:val="24"/>
        </w:rPr>
        <w:t xml:space="preserve">As a result, they strengthen the legal argument against arbitrary displacement.  </w:t>
      </w:r>
    </w:p>
    <w:p w:rsidR="002B2D45" w:rsidRDefault="00CF7201" w:rsidP="00060EEC">
      <w:pPr>
        <w:pStyle w:val="Heading1"/>
        <w:spacing w:line="360" w:lineRule="auto"/>
      </w:pPr>
      <w:bookmarkStart w:id="42" w:name="_Toc399848374"/>
      <w:r w:rsidRPr="00C11547">
        <w:t>Conclusion</w:t>
      </w:r>
      <w:bookmarkEnd w:id="42"/>
    </w:p>
    <w:p w:rsidR="00511B5D" w:rsidRDefault="00E51CD9" w:rsidP="00060EEC">
      <w:pPr>
        <w:spacing w:line="360" w:lineRule="auto"/>
        <w:ind w:firstLine="720"/>
        <w:rPr>
          <w:rFonts w:ascii="Times New Roman" w:hAnsi="Times New Roman" w:cs="Times New Roman"/>
          <w:sz w:val="24"/>
          <w:szCs w:val="24"/>
        </w:rPr>
      </w:pPr>
      <w:r w:rsidRPr="00E51CD9">
        <w:rPr>
          <w:rFonts w:ascii="Times New Roman" w:hAnsi="Times New Roman" w:cs="Times New Roman"/>
          <w:sz w:val="24"/>
          <w:szCs w:val="24"/>
        </w:rPr>
        <w:t xml:space="preserve">This thesis </w:t>
      </w:r>
      <w:r>
        <w:rPr>
          <w:rFonts w:ascii="Times New Roman" w:hAnsi="Times New Roman" w:cs="Times New Roman"/>
          <w:sz w:val="24"/>
          <w:szCs w:val="24"/>
        </w:rPr>
        <w:t xml:space="preserve">argued that central to </w:t>
      </w:r>
      <w:r w:rsidR="008D076D">
        <w:rPr>
          <w:rFonts w:ascii="Times New Roman" w:hAnsi="Times New Roman" w:cs="Times New Roman"/>
          <w:sz w:val="24"/>
          <w:szCs w:val="24"/>
        </w:rPr>
        <w:t xml:space="preserve">understanding the exigent phenomenon of development-induced displacement of indigenous peoples by development projects is the question: where is the legal balance to be struck between the rights of indigenous peoples not to be forcibly displaced and the legitimate right of states to develop economically. </w:t>
      </w:r>
      <w:r w:rsidR="00511B5D">
        <w:rPr>
          <w:rFonts w:ascii="Times New Roman" w:hAnsi="Times New Roman" w:cs="Times New Roman"/>
          <w:sz w:val="24"/>
          <w:szCs w:val="24"/>
        </w:rPr>
        <w:t xml:space="preserve">The thesis began by considering the historical context of indigenous peoples’ fractious relationship with the overarching concept of development in all its guises, from the tortured legacy of imperialism and colonialism, to post-colonialism and the highly contentious project of nation-building and all its ills, to the challenges, and the very real threat, that globalisation now poses to the survival of indigenous peoples. </w:t>
      </w:r>
    </w:p>
    <w:p w:rsidR="00326CC3" w:rsidRDefault="00511B5D" w:rsidP="00060EEC">
      <w:pPr>
        <w:spacing w:line="360" w:lineRule="auto"/>
        <w:ind w:firstLine="720"/>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The aim was to construct a clearer understanding of the position of indigenous peoples in international human rights law with regards to forcible displacement.  In regards to this, t</w:t>
      </w:r>
      <w:r w:rsidR="00707B20">
        <w:rPr>
          <w:rFonts w:ascii="Times New Roman" w:hAnsi="Times New Roman" w:cs="Times New Roman"/>
          <w:sz w:val="24"/>
          <w:szCs w:val="24"/>
        </w:rPr>
        <w:t>wo</w:t>
      </w:r>
      <w:r>
        <w:rPr>
          <w:rFonts w:ascii="Times New Roman" w:hAnsi="Times New Roman" w:cs="Times New Roman"/>
          <w:sz w:val="24"/>
          <w:szCs w:val="24"/>
        </w:rPr>
        <w:t xml:space="preserve"> broad themes have emerged. First, it is important to note</w:t>
      </w:r>
      <w:r w:rsidR="00F05BAF">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F05BAF">
        <w:rPr>
          <w:rFonts w:ascii="Times New Roman" w:hAnsi="Times New Roman" w:cs="Times New Roman"/>
          <w:sz w:val="24"/>
          <w:szCs w:val="24"/>
        </w:rPr>
        <w:t>forcible displacement is inflicted on them not as isolated individuals, but rather as groups and communities. They are, in other words, displaced as a collective. This point brings us on to the concept of collective rights, in particular the collective right to property</w:t>
      </w:r>
      <w:r w:rsidR="00F2267B">
        <w:rPr>
          <w:rFonts w:ascii="Times New Roman" w:hAnsi="Times New Roman" w:cs="Times New Roman"/>
          <w:sz w:val="24"/>
          <w:szCs w:val="24"/>
        </w:rPr>
        <w:t>, to culture, and to right to life. All three are</w:t>
      </w:r>
      <w:r w:rsidR="00F05BAF">
        <w:rPr>
          <w:rFonts w:ascii="Times New Roman" w:hAnsi="Times New Roman" w:cs="Times New Roman"/>
          <w:sz w:val="24"/>
          <w:szCs w:val="24"/>
        </w:rPr>
        <w:t xml:space="preserve"> premised on an intrinsic relationship with lands and </w:t>
      </w:r>
      <w:r w:rsidR="00F2267B">
        <w:rPr>
          <w:rFonts w:ascii="Times New Roman" w:hAnsi="Times New Roman" w:cs="Times New Roman"/>
          <w:sz w:val="24"/>
          <w:szCs w:val="24"/>
        </w:rPr>
        <w:t>territories, which are</w:t>
      </w:r>
      <w:r w:rsidR="00F05BAF">
        <w:rPr>
          <w:rFonts w:ascii="Times New Roman" w:hAnsi="Times New Roman" w:cs="Times New Roman"/>
          <w:sz w:val="24"/>
          <w:szCs w:val="24"/>
        </w:rPr>
        <w:t xml:space="preserve"> in </w:t>
      </w:r>
      <w:r w:rsidR="00F2267B">
        <w:rPr>
          <w:rFonts w:ascii="Times New Roman" w:hAnsi="Times New Roman" w:cs="Times New Roman"/>
          <w:sz w:val="24"/>
          <w:szCs w:val="24"/>
        </w:rPr>
        <w:t>turn,</w:t>
      </w:r>
      <w:r w:rsidR="00F05BAF">
        <w:rPr>
          <w:rFonts w:ascii="Times New Roman" w:hAnsi="Times New Roman" w:cs="Times New Roman"/>
          <w:sz w:val="24"/>
          <w:szCs w:val="24"/>
        </w:rPr>
        <w:t xml:space="preserve"> bas</w:t>
      </w:r>
      <w:r w:rsidR="00F2267B">
        <w:rPr>
          <w:rFonts w:ascii="Times New Roman" w:hAnsi="Times New Roman" w:cs="Times New Roman"/>
          <w:sz w:val="24"/>
          <w:szCs w:val="24"/>
        </w:rPr>
        <w:t>ed</w:t>
      </w:r>
      <w:r w:rsidR="00F05BAF">
        <w:rPr>
          <w:rFonts w:ascii="Times New Roman" w:hAnsi="Times New Roman" w:cs="Times New Roman"/>
          <w:sz w:val="24"/>
          <w:szCs w:val="24"/>
        </w:rPr>
        <w:t xml:space="preserve"> upon cultural integrity and </w:t>
      </w:r>
      <w:r w:rsidR="00F2267B">
        <w:rPr>
          <w:rFonts w:ascii="Times New Roman" w:hAnsi="Times New Roman" w:cs="Times New Roman"/>
          <w:sz w:val="24"/>
          <w:szCs w:val="24"/>
        </w:rPr>
        <w:t xml:space="preserve">one of the core concepts in human rights, </w:t>
      </w:r>
      <w:r w:rsidR="00F05BAF">
        <w:rPr>
          <w:rFonts w:ascii="Times New Roman" w:hAnsi="Times New Roman" w:cs="Times New Roman"/>
          <w:sz w:val="24"/>
          <w:szCs w:val="24"/>
        </w:rPr>
        <w:t>human dignity</w:t>
      </w:r>
      <w:r w:rsidR="00F2267B">
        <w:rPr>
          <w:rFonts w:ascii="Times New Roman" w:hAnsi="Times New Roman" w:cs="Times New Roman"/>
          <w:sz w:val="24"/>
          <w:szCs w:val="24"/>
        </w:rPr>
        <w:t xml:space="preserve">. In this vein, the </w:t>
      </w:r>
      <w:r w:rsidR="00326CC3">
        <w:rPr>
          <w:rFonts w:ascii="Times New Roman" w:hAnsi="Times New Roman" w:cs="Times New Roman"/>
          <w:sz w:val="24"/>
          <w:szCs w:val="24"/>
        </w:rPr>
        <w:t xml:space="preserve">Inter-American court of Human Rights in both </w:t>
      </w:r>
      <w:r w:rsidR="00326CC3" w:rsidRPr="00326CC3">
        <w:rPr>
          <w:rStyle w:val="itemtitle"/>
          <w:rFonts w:ascii="Times New Roman" w:hAnsi="Times New Roman" w:cs="Times New Roman"/>
          <w:i/>
          <w:sz w:val="24"/>
          <w:szCs w:val="24"/>
        </w:rPr>
        <w:t xml:space="preserve">Sawhoyamaxa Indigenous Community of the Enxet-Lengua people v Paraguay </w:t>
      </w:r>
      <w:r w:rsidR="00326CC3" w:rsidRPr="00326CC3">
        <w:rPr>
          <w:rStyle w:val="itemtitle"/>
          <w:rFonts w:ascii="Times New Roman" w:hAnsi="Times New Roman" w:cs="Times New Roman"/>
          <w:sz w:val="24"/>
          <w:szCs w:val="24"/>
        </w:rPr>
        <w:t xml:space="preserve">and the precedent setting </w:t>
      </w:r>
      <w:r w:rsidR="00326CC3" w:rsidRPr="00326CC3">
        <w:rPr>
          <w:rFonts w:ascii="Times New Roman" w:hAnsi="Times New Roman" w:cs="Times New Roman"/>
          <w:bCs/>
          <w:i/>
          <w:color w:val="000000"/>
          <w:sz w:val="24"/>
          <w:szCs w:val="24"/>
          <w:shd w:val="clear" w:color="auto" w:fill="FFFFFF"/>
        </w:rPr>
        <w:t xml:space="preserve">The Mayagna (Sumo) Awas Tingni Community v. Nicaragua  </w:t>
      </w:r>
      <w:r w:rsidR="00326CC3" w:rsidRPr="00326CC3">
        <w:rPr>
          <w:rFonts w:ascii="Times New Roman" w:hAnsi="Times New Roman" w:cs="Times New Roman"/>
          <w:bCs/>
          <w:color w:val="000000"/>
          <w:sz w:val="24"/>
          <w:szCs w:val="24"/>
          <w:shd w:val="clear" w:color="auto" w:fill="FFFFFF"/>
        </w:rPr>
        <w:t xml:space="preserve">recognised </w:t>
      </w:r>
      <w:r w:rsidR="00326CC3">
        <w:rPr>
          <w:rFonts w:ascii="Times New Roman" w:hAnsi="Times New Roman" w:cs="Times New Roman"/>
          <w:bCs/>
          <w:color w:val="000000"/>
          <w:sz w:val="24"/>
          <w:szCs w:val="24"/>
          <w:shd w:val="clear" w:color="auto" w:fill="FFFFFF"/>
        </w:rPr>
        <w:t xml:space="preserve">the importance of human rights as community rights in instances of forcible displacement. The thesis key research question asked:  does international law adequately protect indigenous peoples from development-induced displacement. </w:t>
      </w:r>
    </w:p>
    <w:p w:rsidR="00EC40B5" w:rsidRDefault="00326CC3" w:rsidP="00060EEC">
      <w:pPr>
        <w:spacing w:line="360" w:lineRule="auto"/>
        <w:ind w:firstLine="720"/>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The second theme to emerge is related to the first. The overall objective was to clarify in particular the role of human rights law in the preventative protection </w:t>
      </w:r>
      <w:r w:rsidR="00707B20">
        <w:rPr>
          <w:rFonts w:ascii="Times New Roman" w:hAnsi="Times New Roman" w:cs="Times New Roman"/>
          <w:bCs/>
          <w:color w:val="000000"/>
          <w:sz w:val="24"/>
          <w:szCs w:val="24"/>
          <w:shd w:val="clear" w:color="auto" w:fill="FFFFFF"/>
        </w:rPr>
        <w:t xml:space="preserve">in the development process. As regards to this, the question of the state’s public interest in development in the national interest and the impact, and the often egregious impact of development, especially logging, mining, and dam building , on the human  rights of indigenous peoples is clear. Indigenous peoples in particular are displaced in huge numbers, this leads to dispossession in all its guises-loss of cultures in particular as a consequence of displacement.  </w:t>
      </w:r>
    </w:p>
    <w:p w:rsidR="00511B5D" w:rsidRPr="00326CC3" w:rsidRDefault="00707B20" w:rsidP="00060EEC">
      <w:pPr>
        <w:spacing w:line="360" w:lineRule="auto"/>
        <w:ind w:firstLine="720"/>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 xml:space="preserve">Finally, as has been discussed in the previous paragraph, international courts, and both “hard </w:t>
      </w:r>
      <w:r w:rsidR="00B11783">
        <w:rPr>
          <w:rFonts w:ascii="Times New Roman" w:hAnsi="Times New Roman" w:cs="Times New Roman"/>
          <w:bCs/>
          <w:color w:val="000000"/>
          <w:sz w:val="24"/>
          <w:szCs w:val="24"/>
          <w:shd w:val="clear" w:color="auto" w:fill="FFFFFF"/>
        </w:rPr>
        <w:t>“and</w:t>
      </w:r>
      <w:r>
        <w:rPr>
          <w:rFonts w:ascii="Times New Roman" w:hAnsi="Times New Roman" w:cs="Times New Roman"/>
          <w:bCs/>
          <w:color w:val="000000"/>
          <w:sz w:val="24"/>
          <w:szCs w:val="24"/>
          <w:shd w:val="clear" w:color="auto" w:fill="FFFFFF"/>
        </w:rPr>
        <w:t xml:space="preserve"> “soft” law</w:t>
      </w:r>
      <w:r w:rsidR="00B11783">
        <w:rPr>
          <w:rFonts w:ascii="Times New Roman" w:hAnsi="Times New Roman" w:cs="Times New Roman"/>
          <w:bCs/>
          <w:color w:val="000000"/>
          <w:sz w:val="24"/>
          <w:szCs w:val="24"/>
          <w:shd w:val="clear" w:color="auto" w:fill="FFFFFF"/>
        </w:rPr>
        <w:t>, for instance the ICCPR</w:t>
      </w:r>
      <w:r w:rsidR="00EC40B5">
        <w:rPr>
          <w:rFonts w:ascii="Times New Roman" w:hAnsi="Times New Roman" w:cs="Times New Roman"/>
          <w:bCs/>
          <w:color w:val="000000"/>
          <w:sz w:val="24"/>
          <w:szCs w:val="24"/>
          <w:shd w:val="clear" w:color="auto" w:fill="FFFFFF"/>
        </w:rPr>
        <w:t xml:space="preserve"> </w:t>
      </w:r>
      <w:r w:rsidR="00B11783">
        <w:rPr>
          <w:rFonts w:ascii="Times New Roman" w:hAnsi="Times New Roman" w:cs="Times New Roman"/>
          <w:bCs/>
          <w:color w:val="000000"/>
          <w:sz w:val="24"/>
          <w:szCs w:val="24"/>
          <w:shd w:val="clear" w:color="auto" w:fill="FFFFFF"/>
        </w:rPr>
        <w:t>and the UNDRIP, have acted to protect indigenous peoples from forced displacement. However, the question of inadequate implementation and</w:t>
      </w:r>
      <w:r w:rsidR="00EC40B5">
        <w:rPr>
          <w:rFonts w:ascii="Times New Roman" w:hAnsi="Times New Roman" w:cs="Times New Roman"/>
          <w:bCs/>
          <w:color w:val="000000"/>
          <w:sz w:val="24"/>
          <w:szCs w:val="24"/>
          <w:shd w:val="clear" w:color="auto" w:fill="FFFFFF"/>
        </w:rPr>
        <w:t xml:space="preserve"> the failure</w:t>
      </w:r>
      <w:r w:rsidR="00B11783">
        <w:rPr>
          <w:rFonts w:ascii="Times New Roman" w:hAnsi="Times New Roman" w:cs="Times New Roman"/>
          <w:bCs/>
          <w:color w:val="000000"/>
          <w:sz w:val="24"/>
          <w:szCs w:val="24"/>
          <w:shd w:val="clear" w:color="auto" w:fill="FFFFFF"/>
        </w:rPr>
        <w:t xml:space="preserve"> of many states to respond positively </w:t>
      </w:r>
      <w:r w:rsidR="00EC40B5">
        <w:rPr>
          <w:rFonts w:ascii="Times New Roman" w:hAnsi="Times New Roman" w:cs="Times New Roman"/>
          <w:bCs/>
          <w:color w:val="000000"/>
          <w:sz w:val="24"/>
          <w:szCs w:val="24"/>
          <w:shd w:val="clear" w:color="auto" w:fill="FFFFFF"/>
        </w:rPr>
        <w:t>t</w:t>
      </w:r>
      <w:r w:rsidR="00B11783">
        <w:rPr>
          <w:rFonts w:ascii="Times New Roman" w:hAnsi="Times New Roman" w:cs="Times New Roman"/>
          <w:bCs/>
          <w:color w:val="000000"/>
          <w:sz w:val="24"/>
          <w:szCs w:val="24"/>
          <w:shd w:val="clear" w:color="auto" w:fill="FFFFFF"/>
        </w:rPr>
        <w:t>o their obligations</w:t>
      </w:r>
      <w:r w:rsidR="00EC40B5">
        <w:rPr>
          <w:rFonts w:ascii="Times New Roman" w:hAnsi="Times New Roman" w:cs="Times New Roman"/>
          <w:bCs/>
          <w:color w:val="000000"/>
          <w:sz w:val="24"/>
          <w:szCs w:val="24"/>
          <w:shd w:val="clear" w:color="auto" w:fill="FFFFFF"/>
        </w:rPr>
        <w:t xml:space="preserve">, </w:t>
      </w:r>
      <w:r w:rsidR="00B11783">
        <w:rPr>
          <w:rFonts w:ascii="Times New Roman" w:hAnsi="Times New Roman" w:cs="Times New Roman"/>
          <w:bCs/>
          <w:color w:val="000000"/>
          <w:sz w:val="24"/>
          <w:szCs w:val="24"/>
          <w:shd w:val="clear" w:color="auto" w:fill="FFFFFF"/>
        </w:rPr>
        <w:t xml:space="preserve">both </w:t>
      </w:r>
      <w:r w:rsidR="00EC40B5">
        <w:rPr>
          <w:rFonts w:ascii="Times New Roman" w:hAnsi="Times New Roman" w:cs="Times New Roman"/>
          <w:bCs/>
          <w:color w:val="000000"/>
          <w:sz w:val="24"/>
          <w:szCs w:val="24"/>
          <w:shd w:val="clear" w:color="auto" w:fill="FFFFFF"/>
        </w:rPr>
        <w:t xml:space="preserve"> to </w:t>
      </w:r>
      <w:r w:rsidR="00B11783">
        <w:rPr>
          <w:rFonts w:ascii="Times New Roman" w:hAnsi="Times New Roman" w:cs="Times New Roman"/>
          <w:bCs/>
          <w:color w:val="000000"/>
          <w:sz w:val="24"/>
          <w:szCs w:val="24"/>
          <w:shd w:val="clear" w:color="auto" w:fill="FFFFFF"/>
        </w:rPr>
        <w:t xml:space="preserve">judicial decisions and international normative legal provisions </w:t>
      </w:r>
      <w:r w:rsidR="00EC40B5">
        <w:rPr>
          <w:rFonts w:ascii="Times New Roman" w:hAnsi="Times New Roman" w:cs="Times New Roman"/>
          <w:bCs/>
          <w:color w:val="000000"/>
          <w:sz w:val="24"/>
          <w:szCs w:val="24"/>
          <w:shd w:val="clear" w:color="auto" w:fill="FFFFFF"/>
        </w:rPr>
        <w:t xml:space="preserve">, is </w:t>
      </w:r>
      <w:r w:rsidR="00B11783">
        <w:rPr>
          <w:rFonts w:ascii="Times New Roman" w:hAnsi="Times New Roman" w:cs="Times New Roman"/>
          <w:bCs/>
          <w:color w:val="000000"/>
          <w:sz w:val="24"/>
          <w:szCs w:val="24"/>
          <w:shd w:val="clear" w:color="auto" w:fill="FFFFFF"/>
        </w:rPr>
        <w:t xml:space="preserve">perhaps inevitably, the key issue, both presently and in the foreseeable future. In conclusion, </w:t>
      </w:r>
      <w:r w:rsidR="00EC40B5">
        <w:rPr>
          <w:rFonts w:ascii="Times New Roman" w:hAnsi="Times New Roman" w:cs="Times New Roman"/>
          <w:bCs/>
          <w:color w:val="000000"/>
          <w:sz w:val="24"/>
          <w:szCs w:val="24"/>
          <w:shd w:val="clear" w:color="auto" w:fill="FFFFFF"/>
        </w:rPr>
        <w:t xml:space="preserve">there is, however faint, an emerging norm not to forcibly displaced. Whether or not that norm chrysalises however to become an enforceable right in time to protect indigenous peoples from perhaps the final and worst excesses of “development” is, regrettably, open to question.  </w:t>
      </w:r>
      <w:r w:rsidR="00B11783">
        <w:rPr>
          <w:rFonts w:ascii="Times New Roman" w:hAnsi="Times New Roman" w:cs="Times New Roman"/>
          <w:bCs/>
          <w:color w:val="000000"/>
          <w:sz w:val="24"/>
          <w:szCs w:val="24"/>
          <w:shd w:val="clear" w:color="auto" w:fill="FFFFFF"/>
        </w:rPr>
        <w:t xml:space="preserve">   </w:t>
      </w:r>
    </w:p>
    <w:p w:rsidR="002239E7" w:rsidRPr="00E51CD9" w:rsidRDefault="002239E7" w:rsidP="006412ED">
      <w:pPr>
        <w:pStyle w:val="NoSpacing"/>
        <w:spacing w:line="360" w:lineRule="auto"/>
        <w:rPr>
          <w:rFonts w:ascii="Times New Roman" w:hAnsi="Times New Roman" w:cs="Times New Roman"/>
          <w:sz w:val="24"/>
          <w:szCs w:val="24"/>
        </w:rPr>
      </w:pPr>
    </w:p>
    <w:p w:rsidR="00060EEC" w:rsidRDefault="00060EEC" w:rsidP="00060EEC">
      <w:pPr>
        <w:pStyle w:val="Heading1"/>
        <w:spacing w:line="360" w:lineRule="auto"/>
        <w:ind w:firstLine="720"/>
      </w:pPr>
    </w:p>
    <w:p w:rsidR="00060EEC" w:rsidRDefault="00060EEC">
      <w:pPr>
        <w:rPr>
          <w:rFonts w:ascii="Times New Roman" w:eastAsiaTheme="majorEastAsia" w:hAnsi="Times New Roman" w:cstheme="majorBidi"/>
          <w:b/>
          <w:bCs/>
          <w:color w:val="365F91" w:themeColor="accent1" w:themeShade="BF"/>
          <w:sz w:val="36"/>
          <w:szCs w:val="28"/>
        </w:rPr>
      </w:pPr>
      <w:r>
        <w:br w:type="page"/>
      </w:r>
    </w:p>
    <w:p w:rsidR="00BC5C8B" w:rsidRPr="002A41A4" w:rsidRDefault="00BC5C8B" w:rsidP="00060EEC">
      <w:pPr>
        <w:pStyle w:val="Heading1"/>
        <w:spacing w:line="360" w:lineRule="auto"/>
      </w:pPr>
      <w:bookmarkStart w:id="43" w:name="_Toc399848375"/>
      <w:r w:rsidRPr="002A41A4">
        <w:t>Bibliography</w:t>
      </w:r>
      <w:bookmarkEnd w:id="43"/>
    </w:p>
    <w:p w:rsidR="00BC5C8B" w:rsidRPr="002A41A4" w:rsidRDefault="00BC5C8B" w:rsidP="002A41A4">
      <w:pPr>
        <w:pStyle w:val="Heading2"/>
        <w:spacing w:line="360" w:lineRule="auto"/>
      </w:pPr>
      <w:bookmarkStart w:id="44" w:name="_Toc399848376"/>
      <w:r w:rsidRPr="002A41A4">
        <w:t>Primary Sources</w:t>
      </w:r>
      <w:bookmarkEnd w:id="44"/>
    </w:p>
    <w:p w:rsidR="00BC5C8B" w:rsidRPr="00060EEC" w:rsidRDefault="00BC5C8B" w:rsidP="00060EEC">
      <w:pPr>
        <w:pStyle w:val="Heading3"/>
        <w:spacing w:line="360" w:lineRule="auto"/>
        <w:rPr>
          <w:rStyle w:val="a"/>
          <w:bCs/>
          <w:sz w:val="32"/>
          <w:szCs w:val="26"/>
        </w:rPr>
      </w:pPr>
      <w:bookmarkStart w:id="45" w:name="_Toc399848377"/>
      <w:r w:rsidRPr="00060EEC">
        <w:rPr>
          <w:rStyle w:val="a"/>
          <w:szCs w:val="18"/>
          <w:bdr w:val="none" w:sz="0" w:space="0" w:color="auto" w:frame="1"/>
          <w:shd w:val="clear" w:color="auto" w:fill="FFFFFF"/>
        </w:rPr>
        <w:t>Table of Conventions</w:t>
      </w:r>
      <w:bookmarkEnd w:id="45"/>
      <w:r w:rsidRPr="00060EEC">
        <w:rPr>
          <w:rStyle w:val="a"/>
          <w:szCs w:val="18"/>
          <w:bdr w:val="none" w:sz="0" w:space="0" w:color="auto" w:frame="1"/>
          <w:shd w:val="clear" w:color="auto" w:fill="FFFFFF"/>
        </w:rPr>
        <w:t xml:space="preserve"> </w:t>
      </w:r>
    </w:p>
    <w:p w:rsidR="00BC5C8B" w:rsidRPr="002A41A4" w:rsidRDefault="00BC5C8B" w:rsidP="002A41A4">
      <w:pPr>
        <w:pStyle w:val="NoSpacing"/>
        <w:spacing w:line="360" w:lineRule="auto"/>
        <w:rPr>
          <w:rFonts w:ascii="Times New Roman" w:hAnsi="Times New Roman" w:cs="Times New Roman"/>
          <w:sz w:val="24"/>
          <w:szCs w:val="24"/>
          <w:shd w:val="clear" w:color="auto" w:fill="F9F9F9"/>
        </w:rPr>
      </w:pPr>
      <w:r w:rsidRPr="002A41A4">
        <w:rPr>
          <w:rFonts w:ascii="Times New Roman" w:hAnsi="Times New Roman" w:cs="Times New Roman"/>
          <w:sz w:val="24"/>
          <w:szCs w:val="24"/>
          <w:shd w:val="clear" w:color="auto" w:fill="F9F9F9"/>
        </w:rPr>
        <w:t>African Union,</w:t>
      </w:r>
      <w:r w:rsidRPr="002A41A4">
        <w:rPr>
          <w:rStyle w:val="apple-converted-space"/>
          <w:rFonts w:ascii="Times New Roman" w:hAnsi="Times New Roman" w:cs="Times New Roman"/>
          <w:sz w:val="24"/>
          <w:szCs w:val="24"/>
          <w:shd w:val="clear" w:color="auto" w:fill="F9F9F9"/>
        </w:rPr>
        <w:t> </w:t>
      </w:r>
      <w:r w:rsidRPr="002A41A4">
        <w:rPr>
          <w:rFonts w:ascii="Times New Roman" w:hAnsi="Times New Roman" w:cs="Times New Roman"/>
          <w:i/>
          <w:iCs/>
          <w:sz w:val="24"/>
          <w:szCs w:val="24"/>
        </w:rPr>
        <w:t>Kampala Declaration on Refugees, Returnees and Internally Displaced Persons in Africa</w:t>
      </w:r>
      <w:r w:rsidRPr="002A41A4">
        <w:rPr>
          <w:rFonts w:ascii="Times New Roman" w:hAnsi="Times New Roman" w:cs="Times New Roman"/>
          <w:sz w:val="24"/>
          <w:szCs w:val="24"/>
          <w:shd w:val="clear" w:color="auto" w:fill="F9F9F9"/>
        </w:rPr>
        <w:t>, 23 October 2009, Ext/Assembly/AU/PA/Draft/Decl.(I) Rev.1</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American Convention on the Protections of Human Rights (ACHR), adopted on 22 November 1969, in force since 18 July 1978, 1144 UNTS 123</w:t>
      </w:r>
    </w:p>
    <w:p w:rsidR="00BC5C8B" w:rsidRPr="002A41A4" w:rsidRDefault="00BC5C8B" w:rsidP="002A41A4">
      <w:pPr>
        <w:pStyle w:val="NoSpacing"/>
        <w:spacing w:line="360" w:lineRule="auto"/>
        <w:rPr>
          <w:rFonts w:ascii="Times New Roman" w:hAnsi="Times New Roman" w:cs="Times New Roman"/>
          <w:color w:val="111111"/>
          <w:sz w:val="24"/>
          <w:szCs w:val="24"/>
          <w:shd w:val="clear" w:color="auto" w:fill="FFFFFF"/>
        </w:rPr>
      </w:pPr>
    </w:p>
    <w:p w:rsidR="00BC5C8B" w:rsidRPr="002A41A4" w:rsidRDefault="00BC5C8B" w:rsidP="002A41A4">
      <w:pPr>
        <w:pStyle w:val="NoSpacing"/>
        <w:spacing w:line="360" w:lineRule="auto"/>
        <w:rPr>
          <w:rFonts w:ascii="Times New Roman" w:hAnsi="Times New Roman" w:cs="Times New Roman"/>
          <w:color w:val="000000"/>
          <w:sz w:val="24"/>
          <w:szCs w:val="24"/>
          <w:shd w:val="clear" w:color="auto" w:fill="FFFFFF"/>
        </w:rPr>
      </w:pPr>
      <w:r w:rsidRPr="002A41A4">
        <w:rPr>
          <w:rFonts w:ascii="Times New Roman" w:hAnsi="Times New Roman" w:cs="Times New Roman"/>
          <w:color w:val="111111"/>
          <w:sz w:val="24"/>
          <w:szCs w:val="24"/>
          <w:shd w:val="clear" w:color="auto" w:fill="FFFFFF"/>
        </w:rPr>
        <w:t>American Declaration on the Rights and Duties of Man, May 2, 1948</w:t>
      </w:r>
      <w:r w:rsidRPr="002A41A4">
        <w:rPr>
          <w:rFonts w:ascii="Times New Roman" w:hAnsi="Times New Roman" w:cs="Times New Roman"/>
          <w:color w:val="000000"/>
          <w:sz w:val="24"/>
          <w:szCs w:val="24"/>
          <w:shd w:val="clear" w:color="auto" w:fill="FFFFFF"/>
        </w:rPr>
        <w:t>Res. XXX, reprinted in Basic Documents Pertaining to Human Rights in the Inter-American System, OAS/Ser.L/V/I.4 Rev. 9 (2003); 43 AJIL Supp. 133 (1949)</w:t>
      </w:r>
    </w:p>
    <w:p w:rsidR="00BC5C8B" w:rsidRPr="002A41A4" w:rsidRDefault="00BC5C8B" w:rsidP="002A41A4">
      <w:pPr>
        <w:pStyle w:val="NoSpacing"/>
        <w:spacing w:line="360" w:lineRule="auto"/>
        <w:rPr>
          <w:rFonts w:ascii="Times New Roman" w:hAnsi="Times New Roman" w:cs="Times New Roman"/>
          <w:iCs/>
          <w:sz w:val="24"/>
          <w:szCs w:val="24"/>
        </w:rPr>
      </w:pPr>
    </w:p>
    <w:p w:rsidR="00BC5C8B" w:rsidRPr="002A41A4" w:rsidRDefault="00BC5C8B" w:rsidP="002A41A4">
      <w:pPr>
        <w:pStyle w:val="NoSpacing"/>
        <w:spacing w:line="360" w:lineRule="auto"/>
        <w:rPr>
          <w:rFonts w:ascii="Times New Roman" w:hAnsi="Times New Roman" w:cs="Times New Roman"/>
          <w:iCs/>
          <w:sz w:val="24"/>
          <w:szCs w:val="24"/>
          <w:shd w:val="clear" w:color="auto" w:fill="FFFFFF"/>
        </w:rPr>
      </w:pPr>
      <w:r w:rsidRPr="002A41A4">
        <w:rPr>
          <w:rFonts w:ascii="Times New Roman" w:hAnsi="Times New Roman" w:cs="Times New Roman"/>
          <w:iCs/>
          <w:sz w:val="24"/>
          <w:szCs w:val="24"/>
        </w:rPr>
        <w:t>Convention concerning Indigenous and Tribal Peoples in Independent Countries (hereafter ILO 169) Adopted</w:t>
      </w:r>
      <w:r w:rsidRPr="002A41A4">
        <w:rPr>
          <w:rFonts w:ascii="Times New Roman" w:hAnsi="Times New Roman" w:cs="Times New Roman"/>
          <w:iCs/>
          <w:sz w:val="24"/>
          <w:szCs w:val="24"/>
          <w:shd w:val="clear" w:color="auto" w:fill="FFFFFF"/>
        </w:rPr>
        <w:t xml:space="preserve"> 27 Jun 1989 (entered into force 5, Sept. 1991)</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Convention No. 169 (ILO) concerning Indigenous and Tribal Peoples in Independent Countries (Indigenous and Tribal Peoples Convention), adopted on 27</w:t>
      </w:r>
      <w:r w:rsidRPr="002A41A4">
        <w:rPr>
          <w:rFonts w:ascii="Times New Roman" w:hAnsi="Times New Roman" w:cs="Times New Roman"/>
          <w:sz w:val="24"/>
          <w:szCs w:val="24"/>
          <w:vertAlign w:val="superscript"/>
        </w:rPr>
        <w:t>th</w:t>
      </w:r>
      <w:r w:rsidRPr="002A41A4">
        <w:rPr>
          <w:rFonts w:ascii="Times New Roman" w:hAnsi="Times New Roman" w:cs="Times New Roman"/>
          <w:sz w:val="24"/>
          <w:szCs w:val="24"/>
        </w:rPr>
        <w:t xml:space="preserve"> June 1989, in force since 5 September 1991, 28 ILM 1382</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Convention on the Elimination of All Forms of Racial Discrimination (CERD), adopted on 21 December 1965, in force since 4 January 1969, 660 UNTS 195</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Convention on the Elimination of Discrimination Against Women (CEDAW), adopted on 18 December 1979, in force since 3 September 1981, 1249 UNTS 14</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Convention on the Rights of the Child (CRC), adopted on 20 November 1989, in force since 2 September 1990, 1577 UNTS 3</w:t>
      </w:r>
    </w:p>
    <w:p w:rsidR="00BC5C8B" w:rsidRPr="002A41A4" w:rsidRDefault="00BC5C8B" w:rsidP="002A41A4">
      <w:pPr>
        <w:pStyle w:val="NoSpacing"/>
        <w:spacing w:line="360" w:lineRule="auto"/>
        <w:rPr>
          <w:rFonts w:ascii="Times New Roman" w:hAnsi="Times New Roman" w:cs="Times New Roman"/>
          <w:iCs/>
          <w:sz w:val="24"/>
          <w:szCs w:val="24"/>
        </w:rPr>
      </w:pPr>
    </w:p>
    <w:p w:rsidR="00BC5C8B" w:rsidRPr="002A41A4" w:rsidRDefault="00BC5C8B" w:rsidP="002A41A4">
      <w:pPr>
        <w:pStyle w:val="NoSpacing"/>
        <w:spacing w:line="360" w:lineRule="auto"/>
        <w:rPr>
          <w:rStyle w:val="Strong"/>
        </w:rPr>
      </w:pPr>
      <w:r w:rsidRPr="002A41A4">
        <w:rPr>
          <w:rFonts w:ascii="Times New Roman" w:hAnsi="Times New Roman" w:cs="Times New Roman"/>
          <w:iCs/>
          <w:sz w:val="24"/>
          <w:szCs w:val="24"/>
        </w:rPr>
        <w:t>Convention on the Rights of the Child</w:t>
      </w:r>
      <w:r w:rsidRPr="002A41A4">
        <w:rPr>
          <w:rFonts w:ascii="Times New Roman" w:hAnsi="Times New Roman" w:cs="Times New Roman"/>
          <w:sz w:val="24"/>
          <w:szCs w:val="24"/>
        </w:rPr>
        <w:t xml:space="preserve">, 20 November 1989, United Nations, Treaty Series, vol. 1577 </w:t>
      </w:r>
      <w:r w:rsidRPr="002A41A4">
        <w:rPr>
          <w:rStyle w:val="Strong"/>
          <w:rFonts w:ascii="Times New Roman" w:hAnsi="Times New Roman" w:cs="Times New Roman"/>
          <w:b w:val="0"/>
          <w:sz w:val="24"/>
          <w:szCs w:val="24"/>
          <w:shd w:val="clear" w:color="auto" w:fill="FFFFFF"/>
        </w:rPr>
        <w:t xml:space="preserve">Document A/RES/44/25 (12 December 1989) </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Declaration on the Rights of Indigenous People, adopted on 13 September 2007, UN Doc. A/RES/61/295</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 xml:space="preserve">European Convention on the Protection of Human Rights  </w:t>
      </w:r>
      <w:r w:rsidRPr="002A41A4">
        <w:rPr>
          <w:rFonts w:ascii="Times New Roman" w:hAnsi="Times New Roman" w:cs="Times New Roman"/>
          <w:iCs/>
          <w:sz w:val="24"/>
          <w:szCs w:val="24"/>
        </w:rPr>
        <w:t>amended by Protocols Nos. 11 and 14</w:t>
      </w:r>
      <w:r w:rsidRPr="002A41A4">
        <w:rPr>
          <w:rFonts w:ascii="Times New Roman" w:hAnsi="Times New Roman" w:cs="Times New Roman"/>
          <w:sz w:val="24"/>
          <w:szCs w:val="24"/>
        </w:rPr>
        <w:t>, 4 November 1950 adopted on 4 November 1950, in force since 3 September 1953, 213 UNTS 222</w:t>
      </w:r>
    </w:p>
    <w:p w:rsidR="00BC5C8B" w:rsidRPr="002A41A4" w:rsidRDefault="00BC5C8B" w:rsidP="002A41A4">
      <w:pPr>
        <w:pStyle w:val="NoSpacing"/>
        <w:spacing w:line="360" w:lineRule="auto"/>
        <w:rPr>
          <w:rFonts w:ascii="Times New Roman" w:hAnsi="Times New Roman" w:cs="Times New Roman"/>
          <w:sz w:val="24"/>
          <w:szCs w:val="24"/>
        </w:rPr>
      </w:pPr>
    </w:p>
    <w:p w:rsidR="002A41A4" w:rsidRPr="002A41A4" w:rsidRDefault="002A41A4" w:rsidP="002A41A4">
      <w:pPr>
        <w:pStyle w:val="NoSpacing"/>
        <w:spacing w:line="360" w:lineRule="auto"/>
        <w:rPr>
          <w:rFonts w:ascii="Times New Roman" w:hAnsi="Times New Roman" w:cs="Times New Roman"/>
          <w:sz w:val="24"/>
          <w:szCs w:val="24"/>
          <w:shd w:val="clear" w:color="auto" w:fill="FFFFFF"/>
        </w:rPr>
      </w:pPr>
      <w:r w:rsidRPr="002A41A4">
        <w:rPr>
          <w:rFonts w:ascii="Times New Roman" w:hAnsi="Times New Roman" w:cs="Times New Roman"/>
          <w:sz w:val="24"/>
          <w:szCs w:val="24"/>
          <w:shd w:val="clear" w:color="auto" w:fill="FFFFFF"/>
        </w:rPr>
        <w:t>GA res. 34/180, 34 UN GAOR Supp. (No. 46) at 193 (entered into force March 9</w:t>
      </w:r>
      <w:r w:rsidRPr="002A41A4">
        <w:rPr>
          <w:rFonts w:ascii="Times New Roman" w:hAnsi="Times New Roman" w:cs="Times New Roman"/>
          <w:sz w:val="24"/>
          <w:szCs w:val="24"/>
          <w:shd w:val="clear" w:color="auto" w:fill="FFFFFF"/>
          <w:vertAlign w:val="superscript"/>
        </w:rPr>
        <w:t>th</w:t>
      </w:r>
      <w:r w:rsidRPr="002A41A4">
        <w:rPr>
          <w:rFonts w:ascii="Times New Roman" w:hAnsi="Times New Roman" w:cs="Times New Roman"/>
          <w:sz w:val="24"/>
          <w:szCs w:val="24"/>
          <w:shd w:val="clear" w:color="auto" w:fill="FFFFFF"/>
        </w:rPr>
        <w:t xml:space="preserve"> 1981)</w:t>
      </w:r>
    </w:p>
    <w:p w:rsidR="002A41A4" w:rsidRPr="002A41A4" w:rsidRDefault="002A41A4"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Guiding Principles on Internal Displacement (GPID), UN Doc. E/CN.4/1998/53/ADD.2 Habitat Agenda, adopted by the Second UN Conference on Human Settlements, Istanbul, 2-14 June 1996</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International Covenant on Civil and Political Rights (ICCPR), adopted on 16 December 1966, inforce since 23 March 1976, 999 UNTS 171</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International Covenant on Economic, Social and Cultural Rights, GA Res 2200A, UN GAOR, 21st Sess., UN Doc A/6316 (16 Dec. 1966), 993 UNTS (1976) 3, entered into force 3 Jan. 1976</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London Declaration on International Law Principles on Internally Displaced persons (London Declaration ), adopted by the International Law Association (ILA), 29 July 2000</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 xml:space="preserve">Optional Protocol to the International Covenant on Civil and Political Rights, December 16 1966, 999 U.N.T.S. 302 </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Protocol on the Protection and Assistance to Internally Displaced Persons to the Pact on Security, Stability and Development in the Great Lakes Region, adopted on 14-15 December 2006 by the member states of the International Conference on the Great Lakes Region, in force since June 2008</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UN Economic and Social Council (ECOSOC),</w:t>
      </w:r>
      <w:r w:rsidRPr="002A41A4">
        <w:rPr>
          <w:rStyle w:val="apple-converted-space"/>
          <w:rFonts w:ascii="Times New Roman" w:hAnsi="Times New Roman" w:cs="Times New Roman"/>
          <w:sz w:val="24"/>
          <w:szCs w:val="24"/>
        </w:rPr>
        <w:t> </w:t>
      </w:r>
      <w:r w:rsidRPr="002A41A4">
        <w:rPr>
          <w:rFonts w:ascii="Times New Roman" w:hAnsi="Times New Roman" w:cs="Times New Roman"/>
          <w:i/>
          <w:iCs/>
          <w:sz w:val="24"/>
          <w:szCs w:val="24"/>
        </w:rPr>
        <w:t>Guiding Principles on Internal Displacement</w:t>
      </w:r>
      <w:r w:rsidRPr="002A41A4">
        <w:rPr>
          <w:rFonts w:ascii="Times New Roman" w:hAnsi="Times New Roman" w:cs="Times New Roman"/>
          <w:sz w:val="24"/>
          <w:szCs w:val="24"/>
        </w:rPr>
        <w:t>, 22 July 1998, E/CN.4/1998/53/Add.2</w:t>
      </w:r>
    </w:p>
    <w:p w:rsidR="00BC5C8B" w:rsidRPr="002A41A4" w:rsidRDefault="00BC5C8B" w:rsidP="002A41A4">
      <w:pPr>
        <w:pStyle w:val="NoSpacing"/>
        <w:spacing w:line="360" w:lineRule="auto"/>
        <w:rPr>
          <w:rFonts w:ascii="Times New Roman" w:hAnsi="Times New Roman" w:cs="Times New Roman"/>
          <w:sz w:val="24"/>
          <w:szCs w:val="24"/>
          <w:shd w:val="clear" w:color="auto" w:fill="F9F9F9"/>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shd w:val="clear" w:color="auto" w:fill="F9F9F9"/>
        </w:rPr>
        <w:t>UN Educational, Scientific and Cultural Organisation (UNESCO),</w:t>
      </w:r>
      <w:r w:rsidRPr="002A41A4">
        <w:rPr>
          <w:rStyle w:val="apple-converted-space"/>
          <w:rFonts w:ascii="Times New Roman" w:hAnsi="Times New Roman" w:cs="Times New Roman"/>
          <w:sz w:val="24"/>
          <w:szCs w:val="24"/>
          <w:shd w:val="clear" w:color="auto" w:fill="F9F9F9"/>
        </w:rPr>
        <w:t> </w:t>
      </w:r>
      <w:r w:rsidRPr="002A41A4">
        <w:rPr>
          <w:rFonts w:ascii="Times New Roman" w:hAnsi="Times New Roman" w:cs="Times New Roman"/>
          <w:i/>
          <w:iCs/>
          <w:sz w:val="24"/>
          <w:szCs w:val="24"/>
        </w:rPr>
        <w:t>UNESCO Universal Declaration on Cultural Diversity</w:t>
      </w:r>
      <w:r w:rsidRPr="002A41A4">
        <w:rPr>
          <w:rFonts w:ascii="Times New Roman" w:hAnsi="Times New Roman" w:cs="Times New Roman"/>
          <w:sz w:val="24"/>
          <w:szCs w:val="24"/>
          <w:shd w:val="clear" w:color="auto" w:fill="F9F9F9"/>
        </w:rPr>
        <w:t xml:space="preserve">, 2 November 2001. </w:t>
      </w:r>
    </w:p>
    <w:p w:rsidR="00BC5C8B" w:rsidRPr="002A41A4" w:rsidRDefault="00BC5C8B" w:rsidP="002A41A4">
      <w:pPr>
        <w:pStyle w:val="NoSpacing"/>
        <w:spacing w:line="360" w:lineRule="auto"/>
        <w:rPr>
          <w:rFonts w:ascii="Times New Roman" w:hAnsi="Times New Roman" w:cs="Times New Roman"/>
          <w:sz w:val="24"/>
          <w:szCs w:val="24"/>
          <w:shd w:val="clear" w:color="auto" w:fill="FFFFFF"/>
        </w:rPr>
      </w:pPr>
    </w:p>
    <w:p w:rsidR="00BC5C8B" w:rsidRPr="002A41A4" w:rsidRDefault="00BC5C8B" w:rsidP="002A41A4">
      <w:pPr>
        <w:pStyle w:val="NoSpacing"/>
        <w:spacing w:line="360" w:lineRule="auto"/>
        <w:rPr>
          <w:rFonts w:ascii="Times New Roman" w:hAnsi="Times New Roman" w:cs="Times New Roman"/>
          <w:sz w:val="24"/>
          <w:szCs w:val="24"/>
          <w:shd w:val="clear" w:color="auto" w:fill="FFFFFF"/>
        </w:rPr>
      </w:pPr>
      <w:r w:rsidRPr="002A41A4">
        <w:rPr>
          <w:rFonts w:ascii="Times New Roman" w:hAnsi="Times New Roman" w:cs="Times New Roman"/>
          <w:sz w:val="24"/>
          <w:szCs w:val="24"/>
          <w:shd w:val="clear" w:color="auto" w:fill="FFFFFF"/>
        </w:rPr>
        <w:t xml:space="preserve">United nations </w:t>
      </w:r>
      <w:r w:rsidRPr="002A41A4">
        <w:rPr>
          <w:rFonts w:ascii="Times New Roman" w:hAnsi="Times New Roman" w:cs="Times New Roman"/>
          <w:i/>
          <w:iCs/>
          <w:sz w:val="24"/>
          <w:szCs w:val="24"/>
          <w:shd w:val="clear" w:color="auto" w:fill="FFFFFF"/>
        </w:rPr>
        <w:t>Prevention and punishment of the crime of genocide</w:t>
      </w:r>
      <w:r w:rsidRPr="002A41A4">
        <w:rPr>
          <w:rFonts w:ascii="Times New Roman" w:hAnsi="Times New Roman" w:cs="Times New Roman"/>
          <w:sz w:val="24"/>
          <w:szCs w:val="24"/>
          <w:shd w:val="clear" w:color="auto" w:fill="FFFFFF"/>
        </w:rPr>
        <w:t>, 9 December 1948, A/RES/260, entered into force January 12, 1951 78 UNTS 277  .....</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905222"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Universal Declaration of Human Rights (UDHR), adopted on 10 December 1948, UN Doc. A/810 at 71, UNGA Res. 217 A (III)</w:t>
      </w:r>
    </w:p>
    <w:p w:rsidR="00BC5C8B" w:rsidRPr="00905222" w:rsidRDefault="00BC5C8B" w:rsidP="002A41A4">
      <w:pPr>
        <w:pStyle w:val="NoSpacing"/>
        <w:spacing w:line="360" w:lineRule="auto"/>
        <w:rPr>
          <w:rFonts w:ascii="Times New Roman" w:hAnsi="Times New Roman" w:cs="Times New Roman"/>
          <w:sz w:val="24"/>
          <w:szCs w:val="24"/>
        </w:rPr>
      </w:pPr>
    </w:p>
    <w:p w:rsidR="00BC5C8B" w:rsidRPr="00BB2D76" w:rsidRDefault="00BC5C8B" w:rsidP="00BB2D76">
      <w:pPr>
        <w:pStyle w:val="Heading3"/>
        <w:rPr>
          <w:rStyle w:val="a"/>
          <w:rFonts w:asciiTheme="minorHAnsi" w:eastAsiaTheme="minorEastAsia" w:hAnsiTheme="minorHAnsi" w:cstheme="minorBidi"/>
          <w:b w:val="0"/>
          <w:color w:val="auto"/>
          <w:sz w:val="20"/>
          <w:szCs w:val="22"/>
        </w:rPr>
      </w:pPr>
      <w:bookmarkStart w:id="46" w:name="_Toc399848378"/>
      <w:r w:rsidRPr="00BB2D76">
        <w:rPr>
          <w:rStyle w:val="a"/>
          <w:bdr w:val="none" w:sz="0" w:space="0" w:color="auto" w:frame="1"/>
          <w:shd w:val="clear" w:color="auto" w:fill="FFFFFF"/>
        </w:rPr>
        <w:t>Other Primary Sources</w:t>
      </w:r>
      <w:bookmarkEnd w:id="46"/>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Basic Principles and Guidelines on Development-Based Evictions and Displacement, Annex 1 of the Report of the Special Rapporteur on adequate housing as a component of the right to an adequate standard of living, UN Doc. A/HRC/4/18, 5 February 2007</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Comprehensive Human Rights Guidelines On Development-Based Displacement (The Practice of Forced Evictions), adopted by the expert seminar on the practice of forced evictions, Geneva, 11-13 June 1997 and submitted by the UN Secretary-General to the UN Commission on Human Rights, UN Doc. E/CN.4/Sub.2/1997/7, 2 July 1997</w:t>
      </w:r>
    </w:p>
    <w:p w:rsidR="00BC5C8B" w:rsidRPr="002A41A4" w:rsidRDefault="00BC5C8B" w:rsidP="002A41A4">
      <w:pPr>
        <w:spacing w:line="360" w:lineRule="auto"/>
        <w:rPr>
          <w:rFonts w:ascii="Times New Roman" w:hAnsi="Times New Roman" w:cs="Times New Roman"/>
          <w:sz w:val="24"/>
          <w:szCs w:val="24"/>
        </w:rPr>
      </w:pPr>
    </w:p>
    <w:p w:rsidR="00BC5C8B" w:rsidRPr="002A41A4" w:rsidRDefault="00BC5C8B" w:rsidP="002A41A4">
      <w:pPr>
        <w:spacing w:line="360" w:lineRule="auto"/>
        <w:rPr>
          <w:rFonts w:ascii="Times New Roman" w:hAnsi="Times New Roman" w:cs="Times New Roman"/>
          <w:sz w:val="24"/>
          <w:szCs w:val="24"/>
        </w:rPr>
      </w:pPr>
      <w:r w:rsidRPr="002A41A4">
        <w:rPr>
          <w:rFonts w:ascii="Times New Roman" w:hAnsi="Times New Roman" w:cs="Times New Roman"/>
          <w:sz w:val="24"/>
          <w:szCs w:val="24"/>
        </w:rPr>
        <w:t>General Comment 7, Forced evictions, and the right to adequate housing, (Sixteenth session, 1997), U.N. Doc. E/1998/22, annex IV at 133</w:t>
      </w:r>
    </w:p>
    <w:p w:rsidR="00BC5C8B" w:rsidRPr="002A41A4" w:rsidRDefault="00BC5C8B" w:rsidP="002A41A4">
      <w:pPr>
        <w:pStyle w:val="NoSpacing"/>
        <w:spacing w:line="360" w:lineRule="auto"/>
        <w:rPr>
          <w:rFonts w:ascii="Times New Roman" w:hAnsi="Times New Roman" w:cs="Times New Roman"/>
          <w:sz w:val="24"/>
          <w:szCs w:val="24"/>
          <w:shd w:val="clear" w:color="auto" w:fill="F9F9F9"/>
        </w:rPr>
      </w:pPr>
      <w:r w:rsidRPr="002A41A4">
        <w:rPr>
          <w:rFonts w:ascii="Times New Roman" w:hAnsi="Times New Roman" w:cs="Times New Roman"/>
          <w:sz w:val="24"/>
          <w:szCs w:val="24"/>
          <w:shd w:val="clear" w:color="auto" w:fill="F9F9F9"/>
        </w:rPr>
        <w:t xml:space="preserve">General comment no. 21, Right of everyone to take part in cultural life (art. 15, para. 1a of the Covenant on Economic, Social and Cultural Rights) E/C.12/GC/21 </w:t>
      </w:r>
    </w:p>
    <w:p w:rsidR="00BC5C8B" w:rsidRPr="002A41A4" w:rsidRDefault="00BC5C8B" w:rsidP="002A41A4">
      <w:pPr>
        <w:spacing w:line="360" w:lineRule="auto"/>
        <w:rPr>
          <w:rFonts w:ascii="Times New Roman" w:hAnsi="Times New Roman" w:cs="Times New Roman"/>
          <w:sz w:val="24"/>
          <w:szCs w:val="24"/>
        </w:rPr>
      </w:pPr>
    </w:p>
    <w:p w:rsidR="00BC5C8B" w:rsidRPr="002A41A4" w:rsidRDefault="00BC5C8B" w:rsidP="002A41A4">
      <w:pPr>
        <w:spacing w:line="360" w:lineRule="auto"/>
        <w:rPr>
          <w:rFonts w:ascii="Times New Roman" w:hAnsi="Times New Roman" w:cs="Times New Roman"/>
          <w:sz w:val="24"/>
          <w:szCs w:val="24"/>
        </w:rPr>
      </w:pPr>
      <w:r w:rsidRPr="002A41A4">
        <w:rPr>
          <w:rFonts w:ascii="Times New Roman" w:hAnsi="Times New Roman" w:cs="Times New Roman"/>
          <w:sz w:val="24"/>
          <w:szCs w:val="24"/>
        </w:rPr>
        <w:t>The Committee against Torture (</w:t>
      </w:r>
      <w:r w:rsidRPr="002A41A4">
        <w:rPr>
          <w:rFonts w:ascii="Times New Roman" w:hAnsi="Times New Roman" w:cs="Times New Roman"/>
          <w:i/>
          <w:sz w:val="24"/>
          <w:szCs w:val="24"/>
        </w:rPr>
        <w:t>Concluding observations of the Committee against Torture CHILE (</w:t>
      </w:r>
      <w:r w:rsidRPr="002A41A4">
        <w:rPr>
          <w:rFonts w:ascii="Times New Roman" w:hAnsi="Times New Roman" w:cs="Times New Roman"/>
          <w:sz w:val="24"/>
          <w:szCs w:val="24"/>
        </w:rPr>
        <w:t>2009) CAT/C/CHL/CO/5</w:t>
      </w:r>
    </w:p>
    <w:p w:rsidR="00BC5C8B" w:rsidRPr="002A41A4" w:rsidRDefault="00BC5C8B" w:rsidP="002A41A4">
      <w:pPr>
        <w:pStyle w:val="NoSpacing"/>
        <w:spacing w:line="360" w:lineRule="auto"/>
        <w:rPr>
          <w:rStyle w:val="a"/>
        </w:rPr>
      </w:pPr>
      <w:r w:rsidRPr="002A41A4">
        <w:rPr>
          <w:rFonts w:ascii="Times New Roman" w:hAnsi="Times New Roman" w:cs="Times New Roman"/>
          <w:sz w:val="24"/>
          <w:szCs w:val="24"/>
        </w:rPr>
        <w:t>UN Commission on Human Rights Res. 2004/28, Prohibition of forced evictions, 16 April 2004</w:t>
      </w:r>
    </w:p>
    <w:p w:rsidR="00BC5C8B" w:rsidRPr="002A41A4" w:rsidRDefault="00BC5C8B" w:rsidP="002A41A4">
      <w:pPr>
        <w:pStyle w:val="NoSpacing"/>
        <w:spacing w:line="360" w:lineRule="auto"/>
        <w:rPr>
          <w:rFonts w:ascii="Times New Roman" w:hAnsi="Times New Roman" w:cs="Times New Roman"/>
          <w:sz w:val="24"/>
          <w:szCs w:val="24"/>
        </w:rPr>
      </w:pPr>
    </w:p>
    <w:p w:rsidR="00BC5C8B" w:rsidRPr="002A41A4" w:rsidRDefault="00BC5C8B" w:rsidP="002A41A4">
      <w:pPr>
        <w:pStyle w:val="NoSpacing"/>
        <w:spacing w:line="360" w:lineRule="auto"/>
        <w:rPr>
          <w:rFonts w:ascii="Times New Roman" w:hAnsi="Times New Roman" w:cs="Times New Roman"/>
          <w:sz w:val="24"/>
          <w:szCs w:val="24"/>
        </w:rPr>
      </w:pPr>
      <w:r w:rsidRPr="002A41A4">
        <w:rPr>
          <w:rFonts w:ascii="Times New Roman" w:hAnsi="Times New Roman" w:cs="Times New Roman"/>
          <w:sz w:val="24"/>
          <w:szCs w:val="24"/>
        </w:rPr>
        <w:t>World Bank Operational Policy statement on Involuntary Resettlement, OP 4.12, adopted in December 2001, revised in February 2011</w:t>
      </w:r>
    </w:p>
    <w:p w:rsidR="009A6527" w:rsidRPr="00BB2D76" w:rsidRDefault="009A6527" w:rsidP="009A6527">
      <w:pPr>
        <w:spacing w:line="360" w:lineRule="auto"/>
        <w:rPr>
          <w:rFonts w:ascii="Times New Roman" w:hAnsi="Times New Roman" w:cs="Times New Roman"/>
          <w:b/>
          <w:sz w:val="24"/>
          <w:szCs w:val="24"/>
        </w:rPr>
      </w:pPr>
    </w:p>
    <w:p w:rsidR="009A6527" w:rsidRDefault="009A6527" w:rsidP="009A6527">
      <w:pPr>
        <w:pStyle w:val="Heading3"/>
        <w:spacing w:line="360" w:lineRule="auto"/>
      </w:pPr>
      <w:bookmarkStart w:id="47" w:name="_Toc399848379"/>
      <w:r>
        <w:t>Human Rights Treaty Bodies</w:t>
      </w:r>
      <w:bookmarkEnd w:id="47"/>
    </w:p>
    <w:p w:rsidR="009A6527" w:rsidRPr="00D65630" w:rsidRDefault="009A6527" w:rsidP="009A6527">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rPr>
        <w:t xml:space="preserve">CERD Committee: Concluding observations on Belize in the absence of a report, adopted by the Committee at its 107th session (11 – 28 March 2013) CCPR/C/BLZ/CO/1. 25 </w:t>
      </w:r>
    </w:p>
    <w:p w:rsidR="009A6527" w:rsidRPr="00D65630" w:rsidRDefault="009A6527" w:rsidP="009A6527">
      <w:pPr>
        <w:pStyle w:val="NoSpacing"/>
        <w:spacing w:line="360" w:lineRule="auto"/>
        <w:rPr>
          <w:rFonts w:ascii="Times New Roman" w:hAnsi="Times New Roman" w:cs="Times New Roman"/>
          <w:sz w:val="24"/>
          <w:szCs w:val="24"/>
        </w:rPr>
      </w:pPr>
    </w:p>
    <w:p w:rsidR="009A6527" w:rsidRPr="00D65630" w:rsidRDefault="009A6527" w:rsidP="009A6527">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lang w:val="en-US"/>
        </w:rPr>
        <w:t xml:space="preserve">CERD Committee: Consideration of reports submitted by States parties </w:t>
      </w:r>
      <w:r w:rsidRPr="00D65630">
        <w:rPr>
          <w:rFonts w:ascii="Times New Roman" w:hAnsi="Times New Roman" w:cs="Times New Roman"/>
          <w:bCs/>
          <w:sz w:val="24"/>
          <w:szCs w:val="24"/>
          <w:lang w:val="en-US"/>
        </w:rPr>
        <w:t>under article 9 of the convention.</w:t>
      </w:r>
      <w:r w:rsidRPr="00D65630">
        <w:rPr>
          <w:rFonts w:ascii="Times New Roman" w:hAnsi="Times New Roman" w:cs="Times New Roman"/>
          <w:sz w:val="24"/>
          <w:szCs w:val="24"/>
        </w:rPr>
        <w:t xml:space="preserve"> Draft Concluding observations of the Committee on the Elimination of Racial Discrimination. CERD/C/KHM/CO/8-13. Para. 16 </w:t>
      </w:r>
    </w:p>
    <w:p w:rsidR="009A6527" w:rsidRPr="00D65630" w:rsidRDefault="009A6527" w:rsidP="009A6527">
      <w:pPr>
        <w:pStyle w:val="NoSpacing"/>
        <w:spacing w:line="360" w:lineRule="auto"/>
        <w:rPr>
          <w:rFonts w:ascii="Times New Roman" w:eastAsia="Times New Roman" w:hAnsi="Times New Roman" w:cs="Times New Roman"/>
          <w:sz w:val="24"/>
          <w:szCs w:val="24"/>
        </w:rPr>
      </w:pPr>
    </w:p>
    <w:p w:rsidR="009A6527" w:rsidRPr="00D65630" w:rsidRDefault="009A6527" w:rsidP="009A6527">
      <w:pPr>
        <w:pStyle w:val="NoSpacing"/>
        <w:spacing w:line="360" w:lineRule="auto"/>
        <w:rPr>
          <w:rFonts w:ascii="Times New Roman" w:eastAsia="Times New Roman" w:hAnsi="Times New Roman" w:cs="Times New Roman"/>
          <w:sz w:val="24"/>
          <w:szCs w:val="24"/>
        </w:rPr>
      </w:pPr>
      <w:r w:rsidRPr="00D65630">
        <w:rPr>
          <w:rFonts w:ascii="Times New Roman" w:eastAsia="Times New Roman" w:hAnsi="Times New Roman" w:cs="Times New Roman"/>
          <w:sz w:val="24"/>
          <w:szCs w:val="24"/>
        </w:rPr>
        <w:t xml:space="preserve">Committee on the Elimination of Racial Discrimination, General Recommendation 23, Rights of indigenous peoples (Fifty-first session, 1997), U.N. Doc. A/52/18, annex V at 122 (1997) </w:t>
      </w:r>
    </w:p>
    <w:p w:rsidR="009A6527" w:rsidRPr="00D65630" w:rsidRDefault="009A6527" w:rsidP="009A6527">
      <w:pPr>
        <w:pStyle w:val="NoSpacing"/>
        <w:spacing w:line="360" w:lineRule="auto"/>
        <w:rPr>
          <w:rFonts w:ascii="Times New Roman" w:hAnsi="Times New Roman" w:cs="Times New Roman"/>
          <w:sz w:val="24"/>
          <w:szCs w:val="24"/>
        </w:rPr>
      </w:pPr>
    </w:p>
    <w:p w:rsidR="009A6527" w:rsidRPr="00D65630" w:rsidRDefault="009A6527" w:rsidP="009A6527">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rPr>
        <w:t xml:space="preserve">COMMITTEE ON THE RIGHTS OF THE CHILD, 34th Session 15 September – 3 October 2003.  DAY OF GENERAL DISCUSSION ON THE RIGHTS OF INDIGENOUS CHILDREN. </w:t>
      </w:r>
    </w:p>
    <w:p w:rsidR="009A6527" w:rsidRPr="00D65630" w:rsidRDefault="009A6527" w:rsidP="009A6527">
      <w:pPr>
        <w:pStyle w:val="NoSpacing"/>
        <w:spacing w:line="360" w:lineRule="auto"/>
        <w:rPr>
          <w:rFonts w:ascii="Times New Roman" w:hAnsi="Times New Roman" w:cs="Times New Roman"/>
          <w:sz w:val="24"/>
          <w:szCs w:val="24"/>
          <w:shd w:val="clear" w:color="auto" w:fill="F9F9F9"/>
        </w:rPr>
      </w:pPr>
      <w:r w:rsidRPr="00D65630">
        <w:rPr>
          <w:rFonts w:ascii="Times New Roman" w:hAnsi="Times New Roman" w:cs="Times New Roman"/>
          <w:sz w:val="24"/>
          <w:szCs w:val="24"/>
          <w:shd w:val="clear" w:color="auto" w:fill="F9F9F9"/>
        </w:rPr>
        <w:t>General comment no. 21, Right of everyone to take part in cultural life (art. 15, para. 1a of the Covenant on Economic, Social and Cultural Rights) E/C.12/GC/21</w:t>
      </w:r>
    </w:p>
    <w:p w:rsidR="009A6527" w:rsidRPr="00D65630" w:rsidRDefault="009A6527" w:rsidP="009A6527">
      <w:pPr>
        <w:pStyle w:val="NoSpacing"/>
        <w:spacing w:line="360" w:lineRule="auto"/>
        <w:rPr>
          <w:rFonts w:ascii="Times New Roman" w:hAnsi="Times New Roman" w:cs="Times New Roman"/>
          <w:sz w:val="24"/>
          <w:szCs w:val="24"/>
        </w:rPr>
      </w:pPr>
    </w:p>
    <w:p w:rsidR="009A6527" w:rsidRPr="00D65630" w:rsidRDefault="009A6527" w:rsidP="009A6527">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rPr>
        <w:t xml:space="preserve">Human Rights Committee Concluding observations of the: NICARAGUA UN Doc </w:t>
      </w:r>
      <w:fldSimple w:instr=" FILLIN &quot;Symbol&quot; \* MERGEFORMAT ">
        <w:r w:rsidRPr="00D65630">
          <w:rPr>
            <w:rFonts w:ascii="Times New Roman" w:hAnsi="Times New Roman" w:cs="Times New Roman"/>
            <w:sz w:val="24"/>
            <w:szCs w:val="24"/>
          </w:rPr>
          <w:t>CCPR/C/NIC/CO/3</w:t>
        </w:r>
      </w:fldSimple>
      <w:r w:rsidRPr="00D65630">
        <w:rPr>
          <w:rFonts w:ascii="Times New Roman" w:hAnsi="Times New Roman" w:cs="Times New Roman"/>
          <w:sz w:val="24"/>
          <w:szCs w:val="24"/>
        </w:rPr>
        <w:t xml:space="preserve"> </w:t>
      </w:r>
    </w:p>
    <w:p w:rsidR="009A6527" w:rsidRPr="00D65630" w:rsidRDefault="009A6527" w:rsidP="009A6527">
      <w:pPr>
        <w:pStyle w:val="NoSpacing"/>
        <w:spacing w:line="360" w:lineRule="auto"/>
        <w:rPr>
          <w:rFonts w:ascii="Times New Roman" w:hAnsi="Times New Roman" w:cs="Times New Roman"/>
          <w:sz w:val="24"/>
          <w:szCs w:val="24"/>
        </w:rPr>
      </w:pPr>
    </w:p>
    <w:p w:rsidR="009A6527" w:rsidRPr="00D65630" w:rsidRDefault="009A6527" w:rsidP="009A6527">
      <w:pPr>
        <w:pStyle w:val="NoSpacing"/>
        <w:spacing w:line="360" w:lineRule="auto"/>
        <w:rPr>
          <w:rFonts w:ascii="Times New Roman" w:hAnsi="Times New Roman" w:cs="Times New Roman"/>
          <w:sz w:val="24"/>
          <w:szCs w:val="24"/>
        </w:rPr>
      </w:pPr>
      <w:r w:rsidRPr="00D65630">
        <w:rPr>
          <w:rFonts w:ascii="Times New Roman" w:hAnsi="Times New Roman" w:cs="Times New Roman"/>
          <w:sz w:val="24"/>
          <w:szCs w:val="24"/>
        </w:rPr>
        <w:t xml:space="preserve"> The Committee against Torture (CAT, </w:t>
      </w:r>
      <w:r w:rsidRPr="00D65630">
        <w:rPr>
          <w:rFonts w:ascii="Times New Roman" w:hAnsi="Times New Roman" w:cs="Times New Roman"/>
          <w:i/>
          <w:sz w:val="24"/>
          <w:szCs w:val="24"/>
        </w:rPr>
        <w:t>Concluding observations of the Committee against Torture CHILE (</w:t>
      </w:r>
      <w:r w:rsidRPr="00D65630">
        <w:rPr>
          <w:rFonts w:ascii="Times New Roman" w:hAnsi="Times New Roman" w:cs="Times New Roman"/>
          <w:sz w:val="24"/>
          <w:szCs w:val="24"/>
        </w:rPr>
        <w:t xml:space="preserve">2009) CAT/C/CHL/CO/5 </w:t>
      </w:r>
    </w:p>
    <w:p w:rsidR="009A6527" w:rsidRPr="00D65630" w:rsidRDefault="009A6527" w:rsidP="009A6527">
      <w:pPr>
        <w:rPr>
          <w:rFonts w:ascii="Times New Roman" w:hAnsi="Times New Roman" w:cs="Times New Roman"/>
          <w:sz w:val="24"/>
          <w:szCs w:val="24"/>
        </w:rPr>
      </w:pPr>
    </w:p>
    <w:p w:rsidR="009A6527" w:rsidRPr="00D65630" w:rsidRDefault="009A6527" w:rsidP="009A6527">
      <w:pPr>
        <w:pStyle w:val="NoSpacing"/>
        <w:rPr>
          <w:rFonts w:ascii="Times New Roman" w:hAnsi="Times New Roman" w:cs="Times New Roman"/>
          <w:b/>
          <w:sz w:val="24"/>
          <w:szCs w:val="24"/>
        </w:rPr>
      </w:pPr>
      <w:r w:rsidRPr="00D65630">
        <w:rPr>
          <w:rFonts w:ascii="Times New Roman" w:hAnsi="Times New Roman" w:cs="Times New Roman"/>
          <w:sz w:val="24"/>
          <w:szCs w:val="24"/>
        </w:rPr>
        <w:t>Victoria Tauli-Corpuz and Parshuram Tamang, “Oil Palm and Other Commercial Tree Plantations, Monocropping: Impacts on Indigenous Peoples’ Land Tenure and Resource Management Systems and Livelihoods.” E/C.19/2007/CRP.6, 7 May 2007</w:t>
      </w:r>
    </w:p>
    <w:p w:rsidR="009A6527" w:rsidRPr="00E51CD9" w:rsidRDefault="009A6527" w:rsidP="009A6527">
      <w:pPr>
        <w:pStyle w:val="NoSpacing"/>
        <w:spacing w:line="360" w:lineRule="auto"/>
        <w:rPr>
          <w:rFonts w:ascii="Times New Roman" w:hAnsi="Times New Roman" w:cs="Times New Roman"/>
          <w:b/>
          <w:sz w:val="24"/>
          <w:szCs w:val="24"/>
        </w:rPr>
      </w:pPr>
    </w:p>
    <w:p w:rsidR="009A6527" w:rsidRPr="00254C2D" w:rsidRDefault="009A6527" w:rsidP="00BB2D76">
      <w:pPr>
        <w:spacing w:line="360" w:lineRule="auto"/>
        <w:rPr>
          <w:rFonts w:ascii="Times New Roman" w:hAnsi="Times New Roman" w:cs="Times New Roman"/>
          <w:b/>
          <w:sz w:val="28"/>
          <w:szCs w:val="28"/>
          <w:u w:val="single"/>
        </w:rPr>
      </w:pPr>
    </w:p>
    <w:p w:rsidR="00BC5C8B" w:rsidRDefault="00BC5C8B" w:rsidP="00BB2D76">
      <w:pPr>
        <w:pStyle w:val="Heading2"/>
        <w:spacing w:line="360" w:lineRule="auto"/>
      </w:pPr>
      <w:bookmarkStart w:id="48" w:name="_Toc399848380"/>
      <w:r>
        <w:t>Secondary Sources</w:t>
      </w:r>
      <w:bookmarkEnd w:id="48"/>
    </w:p>
    <w:p w:rsidR="00BC5C8B" w:rsidRDefault="00BC5C8B" w:rsidP="00BB2D76">
      <w:pPr>
        <w:pStyle w:val="Heading3"/>
        <w:spacing w:line="360" w:lineRule="auto"/>
      </w:pPr>
      <w:bookmarkStart w:id="49" w:name="_Toc399848381"/>
      <w:r>
        <w:t>Journals</w:t>
      </w:r>
      <w:bookmarkEnd w:id="49"/>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Allen Buchanan, “The Role of Collective Rights in the Theory of Indigenous Peoples' Rights”, </w:t>
      </w:r>
      <w:r w:rsidRPr="00BB2D76">
        <w:rPr>
          <w:rFonts w:ascii="Times New Roman" w:hAnsi="Times New Roman" w:cs="Times New Roman"/>
          <w:i/>
          <w:sz w:val="24"/>
          <w:szCs w:val="24"/>
        </w:rPr>
        <w:t>3 Transnat'l L. &amp; Contemp. Probs. 89 1993</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Anna Meijknecht and Byung Sook de Vries, “Is There a Place for Minorities' and Indigenous Peoples' Rights within ASEAN?: Asian Values, ASEAN Values and the Protection of Southeast Asian Minorities and Indigenous Peoples”, </w:t>
      </w:r>
      <w:r w:rsidRPr="00BB2D76">
        <w:rPr>
          <w:rFonts w:ascii="Times New Roman" w:hAnsi="Times New Roman" w:cs="Times New Roman"/>
          <w:i/>
          <w:sz w:val="24"/>
          <w:szCs w:val="24"/>
        </w:rPr>
        <w:t>17 Int'l J. on Minority &amp; Group Rts. 75 2010</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eastAsia="Times New Roman" w:hAnsi="Times New Roman" w:cs="Times New Roman"/>
          <w:bCs/>
          <w:color w:val="000000"/>
          <w:sz w:val="24"/>
          <w:szCs w:val="24"/>
        </w:rPr>
      </w:pPr>
      <w:r w:rsidRPr="00BB2D76">
        <w:rPr>
          <w:rFonts w:ascii="Times New Roman" w:hAnsi="Times New Roman" w:cs="Times New Roman"/>
          <w:sz w:val="24"/>
          <w:szCs w:val="24"/>
        </w:rPr>
        <w:t>Baogang He, “</w:t>
      </w:r>
      <w:r w:rsidRPr="00BB2D76">
        <w:rPr>
          <w:rFonts w:ascii="Times New Roman" w:eastAsia="Times New Roman" w:hAnsi="Times New Roman" w:cs="Times New Roman"/>
          <w:bCs/>
          <w:color w:val="000000"/>
          <w:sz w:val="24"/>
          <w:szCs w:val="24"/>
        </w:rPr>
        <w:t>The Contested Politics of Asian Responses to Indigenous Rights</w:t>
      </w:r>
      <w:r w:rsidRPr="00BB2D76">
        <w:rPr>
          <w:rFonts w:ascii="Times New Roman" w:eastAsia="Times New Roman" w:hAnsi="Times New Roman" w:cs="Times New Roman"/>
          <w:bCs/>
          <w:i/>
          <w:color w:val="000000"/>
          <w:sz w:val="24"/>
          <w:szCs w:val="24"/>
        </w:rPr>
        <w:t xml:space="preserve">” 18 Int'l J. on Minority &amp; Group Rts. 461 2011.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Beth Robertson &amp; Per Pinstrup-Andersen, “Global land acquisition: neo-colonialism or development opportunity?” </w:t>
      </w:r>
      <w:r w:rsidRPr="00BB2D76">
        <w:rPr>
          <w:rFonts w:ascii="Times New Roman" w:hAnsi="Times New Roman" w:cs="Times New Roman"/>
          <w:i/>
          <w:sz w:val="24"/>
          <w:szCs w:val="24"/>
        </w:rPr>
        <w:t>Food Security. (2010) 2:271–283</w:t>
      </w:r>
    </w:p>
    <w:p w:rsidR="00BC5C8B" w:rsidRPr="00BB2D76" w:rsidRDefault="00BC5C8B" w:rsidP="00BB2D76">
      <w:pPr>
        <w:pStyle w:val="NoSpacing"/>
        <w:spacing w:line="360" w:lineRule="auto"/>
        <w:rPr>
          <w:rFonts w:ascii="Times New Roman" w:hAnsi="Times New Roman" w:cs="Times New Roman"/>
          <w:sz w:val="24"/>
          <w:szCs w:val="24"/>
          <w:shd w:val="clear" w:color="auto" w:fill="FFFFFF"/>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Carlos Larrea and Lavinia Warnars, “The Ecuador's Yasuni-ITT Initiative: Avoiding emissions by keeping petroleum underground.” </w:t>
      </w:r>
      <w:r w:rsidRPr="00BB2D76">
        <w:rPr>
          <w:rFonts w:ascii="Times New Roman" w:hAnsi="Times New Roman" w:cs="Times New Roman"/>
          <w:i/>
          <w:sz w:val="24"/>
          <w:szCs w:val="24"/>
        </w:rPr>
        <w:t>Energy for Sustainable Development 13 (2009) 219–223</w:t>
      </w:r>
    </w:p>
    <w:p w:rsidR="00BC5C8B" w:rsidRPr="00BB2D76" w:rsidRDefault="00BC5C8B" w:rsidP="00BB2D76">
      <w:pPr>
        <w:pStyle w:val="NoSpacing"/>
        <w:spacing w:line="360" w:lineRule="auto"/>
        <w:rPr>
          <w:rFonts w:ascii="Times New Roman" w:hAnsi="Times New Roman" w:cs="Times New Roman"/>
          <w:sz w:val="24"/>
          <w:szCs w:val="24"/>
          <w:shd w:val="clear" w:color="auto" w:fill="FFFFFF"/>
        </w:rPr>
      </w:pPr>
    </w:p>
    <w:p w:rsidR="00BC5C8B" w:rsidRPr="00BB2D76" w:rsidRDefault="00BC5C8B" w:rsidP="00BB2D76">
      <w:pPr>
        <w:pStyle w:val="NoSpacing"/>
        <w:spacing w:line="360" w:lineRule="auto"/>
        <w:rPr>
          <w:rFonts w:ascii="Times New Roman" w:hAnsi="Times New Roman" w:cs="Times New Roman"/>
          <w:sz w:val="24"/>
          <w:szCs w:val="24"/>
          <w:shd w:val="clear" w:color="auto" w:fill="FFFFFF"/>
        </w:rPr>
      </w:pPr>
      <w:r w:rsidRPr="00BB2D76">
        <w:rPr>
          <w:rFonts w:ascii="Times New Roman" w:hAnsi="Times New Roman" w:cs="Times New Roman"/>
          <w:sz w:val="24"/>
          <w:szCs w:val="24"/>
          <w:shd w:val="clear" w:color="auto" w:fill="FFFFFF"/>
        </w:rPr>
        <w:t xml:space="preserve">Cathal Doyle and Jérémie Gilbert “Indigenous Peoples and Globalization: From Development Aggression’ to Self-Determined Development’ </w:t>
      </w:r>
      <w:r w:rsidRPr="00BB2D76">
        <w:rPr>
          <w:rFonts w:ascii="Times New Roman" w:hAnsi="Times New Roman" w:cs="Times New Roman"/>
          <w:i/>
          <w:sz w:val="24"/>
          <w:szCs w:val="24"/>
          <w:shd w:val="clear" w:color="auto" w:fill="FFFFFF"/>
        </w:rPr>
        <w:t xml:space="preserve">European Yearbook of Minority Issues </w:t>
      </w:r>
      <w:r w:rsidRPr="00BB2D76">
        <w:rPr>
          <w:rFonts w:ascii="Times New Roman" w:hAnsi="Times New Roman" w:cs="Times New Roman"/>
          <w:sz w:val="24"/>
          <w:szCs w:val="24"/>
          <w:shd w:val="clear" w:color="auto" w:fill="FFFFFF"/>
        </w:rPr>
        <w:t>Vol 7, 2008/9</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color w:val="000000"/>
          <w:sz w:val="24"/>
          <w:szCs w:val="24"/>
          <w:shd w:val="clear" w:color="auto" w:fill="FFFFFF"/>
        </w:rPr>
      </w:pPr>
      <w:r w:rsidRPr="00BB2D76">
        <w:rPr>
          <w:rFonts w:ascii="Times New Roman" w:hAnsi="Times New Roman" w:cs="Times New Roman"/>
          <w:sz w:val="24"/>
          <w:szCs w:val="24"/>
        </w:rPr>
        <w:t>Cernic</w:t>
      </w:r>
      <w:r w:rsidRPr="00BB2D76">
        <w:rPr>
          <w:rFonts w:ascii="Times New Roman" w:hAnsi="Times New Roman" w:cs="Times New Roman"/>
          <w:color w:val="000000"/>
          <w:sz w:val="24"/>
          <w:szCs w:val="24"/>
          <w:shd w:val="clear" w:color="auto" w:fill="FFFFFF"/>
        </w:rPr>
        <w:t xml:space="preserve">, Jernej Letnar. "State Obligations Concerning Indigenous Peoples' Rights to Their Ancestral Lands: Lex Imperfecta?" (2013) </w:t>
      </w:r>
      <w:r w:rsidRPr="00BB2D76">
        <w:rPr>
          <w:rFonts w:ascii="Times New Roman" w:hAnsi="Times New Roman" w:cs="Times New Roman"/>
          <w:i/>
          <w:color w:val="000000"/>
          <w:sz w:val="24"/>
          <w:szCs w:val="24"/>
          <w:shd w:val="clear" w:color="auto" w:fill="FFFFFF"/>
        </w:rPr>
        <w:t>American University International Law Review 28 no. 4</w:t>
      </w:r>
      <w:r w:rsidRPr="00BB2D76">
        <w:rPr>
          <w:rFonts w:ascii="Times New Roman" w:hAnsi="Times New Roman" w:cs="Times New Roman"/>
          <w:color w:val="000000"/>
          <w:sz w:val="24"/>
          <w:szCs w:val="24"/>
          <w:shd w:val="clear" w:color="auto" w:fill="FFFFFF"/>
        </w:rPr>
        <w:t>: 1129-1171.</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Christian Courtis, “Notes on the Implementation by Latin American Courts</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Christopher McCrudden, “Legal Research and the Social Sciences”, </w:t>
      </w:r>
      <w:r w:rsidRPr="00BB2D76">
        <w:rPr>
          <w:rFonts w:ascii="Times New Roman" w:hAnsi="Times New Roman" w:cs="Times New Roman"/>
          <w:i/>
          <w:sz w:val="24"/>
          <w:szCs w:val="24"/>
        </w:rPr>
        <w:t>Law Quarterly Review</w:t>
      </w:r>
      <w:r w:rsidRPr="00BB2D76">
        <w:rPr>
          <w:rFonts w:ascii="Times New Roman" w:hAnsi="Times New Roman" w:cs="Times New Roman"/>
          <w:sz w:val="24"/>
          <w:szCs w:val="24"/>
        </w:rPr>
        <w:t xml:space="preserve">, 2006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Francis Deng, “Guiding Principles on Internal Displacement submitted by Francis Deng, Special Representative of the Secretary-General to the UN Commission on Human Rights” </w:t>
      </w:r>
      <w:r w:rsidRPr="00BB2D76">
        <w:rPr>
          <w:rFonts w:ascii="Times New Roman" w:hAnsi="Times New Roman" w:cs="Times New Roman"/>
          <w:i/>
          <w:sz w:val="24"/>
          <w:szCs w:val="24"/>
        </w:rPr>
        <w:t>10 Int'l J. Refugee L. 563 1998</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GUIDING PRINCIPLES ON INTERNAL DISPLACEMENT: ANNOTATIONS”, Studies in </w:t>
      </w:r>
      <w:r w:rsidRPr="00BB2D76">
        <w:rPr>
          <w:rFonts w:ascii="Times New Roman" w:hAnsi="Times New Roman" w:cs="Times New Roman"/>
          <w:i/>
          <w:sz w:val="24"/>
          <w:szCs w:val="24"/>
        </w:rPr>
        <w:t>Transnational Legal Policy, No. 32</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Gurdial Singh Nijar, “Traditional Knowledge Systems, International Law and National Challenges: Marginalization or Emancipation?”</w:t>
      </w:r>
      <w:r w:rsidRPr="00BB2D76">
        <w:rPr>
          <w:rFonts w:ascii="Times New Roman" w:hAnsi="Times New Roman" w:cs="Times New Roman"/>
          <w:i/>
          <w:sz w:val="24"/>
          <w:szCs w:val="24"/>
        </w:rPr>
        <w:t xml:space="preserve"> </w:t>
      </w:r>
      <w:r w:rsidRPr="00BB2D76">
        <w:rPr>
          <w:rFonts w:ascii="Times New Roman" w:hAnsi="Times New Roman" w:cs="Times New Roman"/>
          <w:sz w:val="24"/>
          <w:szCs w:val="24"/>
        </w:rPr>
        <w:t xml:space="preserve">(2103) </w:t>
      </w:r>
      <w:r w:rsidRPr="00BB2D76">
        <w:rPr>
          <w:rFonts w:ascii="Times New Roman" w:hAnsi="Times New Roman" w:cs="Times New Roman"/>
          <w:i/>
          <w:sz w:val="24"/>
          <w:szCs w:val="24"/>
        </w:rPr>
        <w:t>Eur J Int Law 24 (4): 1205</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Hari Osofsky, “Climate Change and Environmental Justice: Reflections on Litigation over Oil Extraction and Rights Violations in Nigeria.” </w:t>
      </w:r>
      <w:r w:rsidRPr="00BB2D76">
        <w:rPr>
          <w:rFonts w:ascii="Times New Roman" w:hAnsi="Times New Roman" w:cs="Times New Roman"/>
          <w:i/>
          <w:sz w:val="24"/>
          <w:szCs w:val="24"/>
        </w:rPr>
        <w:t>Journal of Human Rights and the Environment, Vol. 1 No.2, September 2010</w:t>
      </w:r>
      <w:r w:rsidRPr="00BB2D76">
        <w:rPr>
          <w:rFonts w:ascii="Times New Roman" w:hAnsi="Times New Roman" w:cs="Times New Roman"/>
          <w:sz w:val="24"/>
          <w:szCs w:val="24"/>
        </w:rPr>
        <w:t xml:space="preserve">, Pp 189-210    </w:t>
      </w:r>
    </w:p>
    <w:p w:rsidR="00BC5C8B" w:rsidRPr="00BB2D76" w:rsidRDefault="00BC5C8B" w:rsidP="00BB2D76">
      <w:pPr>
        <w:pStyle w:val="NoSpacing"/>
        <w:spacing w:line="360" w:lineRule="auto"/>
        <w:rPr>
          <w:rFonts w:ascii="Times New Roman" w:eastAsia="Times New Roman" w:hAnsi="Times New Roman" w:cs="Times New Roman"/>
          <w:bCs/>
          <w:color w:val="000000"/>
          <w:sz w:val="24"/>
          <w:szCs w:val="24"/>
        </w:rPr>
      </w:pPr>
    </w:p>
    <w:p w:rsidR="00BC5C8B" w:rsidRPr="00BB2D76" w:rsidRDefault="00BC5C8B" w:rsidP="00BB2D76">
      <w:pPr>
        <w:pStyle w:val="NoSpacing"/>
        <w:spacing w:line="360" w:lineRule="auto"/>
        <w:rPr>
          <w:rFonts w:ascii="Times New Roman" w:eastAsia="Times New Roman" w:hAnsi="Times New Roman" w:cs="Times New Roman"/>
          <w:bCs/>
          <w:i/>
          <w:color w:val="000000"/>
          <w:sz w:val="24"/>
          <w:szCs w:val="24"/>
        </w:rPr>
      </w:pPr>
      <w:r w:rsidRPr="00BB2D76">
        <w:rPr>
          <w:rFonts w:ascii="Times New Roman" w:eastAsia="Times New Roman" w:hAnsi="Times New Roman" w:cs="Times New Roman"/>
          <w:bCs/>
          <w:color w:val="000000"/>
          <w:sz w:val="24"/>
          <w:szCs w:val="24"/>
        </w:rPr>
        <w:t xml:space="preserve">J Ngugi, “The Decolonisation-modernisation Interface and the Plight of Indigenous Peoples in Post-colonial Development Discourse in Africa’” (2002) </w:t>
      </w:r>
      <w:r w:rsidRPr="00BB2D76">
        <w:rPr>
          <w:rFonts w:ascii="Times New Roman" w:eastAsia="Times New Roman" w:hAnsi="Times New Roman" w:cs="Times New Roman"/>
          <w:bCs/>
          <w:i/>
          <w:color w:val="000000"/>
          <w:sz w:val="24"/>
          <w:szCs w:val="24"/>
        </w:rPr>
        <w:t>20 Wisconsin International Law Journal 289</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James Anaya and Claudio Grossman, “The Case of Awas Tingni v. Nicaragua: A New Step in the International Law of Indigenous Peoples”, Arizona</w:t>
      </w:r>
      <w:r w:rsidRPr="00BB2D76">
        <w:rPr>
          <w:rFonts w:ascii="Times New Roman" w:hAnsi="Times New Roman" w:cs="Times New Roman"/>
          <w:i/>
          <w:sz w:val="24"/>
          <w:szCs w:val="24"/>
        </w:rPr>
        <w:t xml:space="preserve"> Journal of International and Comparative Law</w:t>
      </w:r>
      <w:r w:rsidRPr="00BB2D76">
        <w:rPr>
          <w:rFonts w:ascii="Times New Roman" w:hAnsi="Times New Roman" w:cs="Times New Roman"/>
          <w:sz w:val="24"/>
          <w:szCs w:val="24"/>
        </w:rPr>
        <w:t xml:space="preserve"> Vol. 19, No. 1, 2002. P.1 </w:t>
      </w:r>
    </w:p>
    <w:p w:rsidR="00BC5C8B" w:rsidRPr="00BB2D76" w:rsidRDefault="00BC5C8B" w:rsidP="00BB2D76">
      <w:pPr>
        <w:spacing w:line="360" w:lineRule="auto"/>
        <w:rPr>
          <w:rFonts w:ascii="Times New Roman" w:hAnsi="Times New Roman" w:cs="Times New Roman"/>
          <w:sz w:val="24"/>
          <w:szCs w:val="24"/>
        </w:rPr>
      </w:pPr>
    </w:p>
    <w:p w:rsidR="00BC5C8B" w:rsidRPr="00BB2D76" w:rsidRDefault="00BC5C8B" w:rsidP="00BB2D76">
      <w:pPr>
        <w:spacing w:line="360" w:lineRule="auto"/>
        <w:rPr>
          <w:rFonts w:ascii="Times New Roman" w:hAnsi="Times New Roman" w:cs="Times New Roman"/>
          <w:sz w:val="24"/>
          <w:szCs w:val="24"/>
        </w:rPr>
      </w:pPr>
      <w:r w:rsidRPr="00BB2D76">
        <w:rPr>
          <w:rFonts w:ascii="Times New Roman" w:hAnsi="Times New Roman" w:cs="Times New Roman"/>
          <w:sz w:val="24"/>
          <w:szCs w:val="24"/>
        </w:rPr>
        <w:t>James Anaya, “The Human Rights of Indigenous Peoples: United Nations Developments”,</w:t>
      </w:r>
      <w:r w:rsidRPr="00BB2D76">
        <w:rPr>
          <w:rFonts w:ascii="Times New Roman" w:hAnsi="Times New Roman" w:cs="Times New Roman"/>
          <w:i/>
          <w:sz w:val="24"/>
          <w:szCs w:val="24"/>
        </w:rPr>
        <w:t xml:space="preserve"> 35 U. Haw. L. Rev. 983 2013</w:t>
      </w:r>
      <w:r w:rsidRPr="00BB2D76">
        <w:rPr>
          <w:rFonts w:ascii="Times New Roman" w:hAnsi="Times New Roman" w:cs="Times New Roman"/>
          <w:sz w:val="24"/>
          <w:szCs w:val="24"/>
        </w:rPr>
        <w:t>.</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Jérémie Gilbert, “Historical Indigenous Peoples' Land Claims: A Comparative and International Approach to the Common Law Doctrine on Indigenous Title”, (2007) </w:t>
      </w:r>
      <w:r w:rsidRPr="00BB2D76">
        <w:rPr>
          <w:rFonts w:ascii="Times New Roman" w:hAnsi="Times New Roman" w:cs="Times New Roman"/>
          <w:i/>
          <w:sz w:val="24"/>
          <w:szCs w:val="24"/>
        </w:rPr>
        <w:t>The International and Comparative Law Quarterly, Vol. 56, No. 3 pp. 583-611</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 Jeremie Gilbert, “Human Rights Approach to Nomadic Peoples’ Land Rights”, </w:t>
      </w:r>
      <w:r w:rsidRPr="00BB2D76">
        <w:rPr>
          <w:rFonts w:ascii="Times New Roman" w:hAnsi="Times New Roman" w:cs="Times New Roman"/>
          <w:i/>
          <w:sz w:val="24"/>
          <w:szCs w:val="24"/>
        </w:rPr>
        <w:t>HRLR 7 (2007), 681-716</w:t>
      </w:r>
      <w:r w:rsidRPr="00BB2D76">
        <w:rPr>
          <w:rFonts w:ascii="Times New Roman" w:hAnsi="Times New Roman" w:cs="Times New Roman"/>
          <w:sz w:val="24"/>
          <w:szCs w:val="24"/>
        </w:rPr>
        <w:t xml:space="preserve">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Jérémie Gilbert, “Indigenous Rights in the Making: The United Nations Declaration on the Rights of Indigenous Peoples”, (2007)</w:t>
      </w:r>
      <w:r w:rsidRPr="00BB2D76">
        <w:rPr>
          <w:rFonts w:ascii="Times New Roman" w:hAnsi="Times New Roman" w:cs="Times New Roman"/>
          <w:i/>
          <w:sz w:val="24"/>
          <w:szCs w:val="24"/>
        </w:rPr>
        <w:t xml:space="preserve"> 14 Int'l J. on Minority &amp; Group Rts. 207</w:t>
      </w:r>
      <w:r w:rsidRPr="00BB2D76">
        <w:rPr>
          <w:rFonts w:ascii="Times New Roman" w:hAnsi="Times New Roman" w:cs="Times New Roman"/>
          <w:sz w:val="24"/>
          <w:szCs w:val="24"/>
        </w:rPr>
        <w:t xml:space="preserve">. P. 209-210 </w:t>
      </w:r>
      <w:r w:rsidRPr="00BB2D76">
        <w:rPr>
          <w:rFonts w:ascii="Times New Roman" w:hAnsi="Times New Roman" w:cs="Times New Roman"/>
          <w:i/>
          <w:sz w:val="24"/>
          <w:szCs w:val="24"/>
        </w:rPr>
        <w:t xml:space="preserve">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bCs/>
          <w:sz w:val="24"/>
          <w:szCs w:val="24"/>
        </w:rPr>
      </w:pPr>
      <w:r w:rsidRPr="00BB2D76">
        <w:rPr>
          <w:rFonts w:ascii="Times New Roman" w:hAnsi="Times New Roman" w:cs="Times New Roman"/>
          <w:sz w:val="24"/>
          <w:szCs w:val="24"/>
        </w:rPr>
        <w:t xml:space="preserve">Kathy Bowrey, “Law and Its Confinement: Reflections on Trevor Nickolls Brush with the Lore”, (2011) 20 </w:t>
      </w:r>
      <w:r w:rsidRPr="00BB2D76">
        <w:rPr>
          <w:rFonts w:ascii="Times New Roman" w:hAnsi="Times New Roman" w:cs="Times New Roman"/>
          <w:i/>
          <w:iCs/>
          <w:sz w:val="24"/>
          <w:szCs w:val="24"/>
        </w:rPr>
        <w:t xml:space="preserve">Griffith Ln Review </w:t>
      </w:r>
      <w:r w:rsidRPr="00BB2D76">
        <w:rPr>
          <w:rFonts w:ascii="Times New Roman" w:hAnsi="Times New Roman" w:cs="Times New Roman"/>
          <w:bCs/>
          <w:sz w:val="24"/>
          <w:szCs w:val="24"/>
        </w:rPr>
        <w:t xml:space="preserve">729. P. 743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KN Bojosi and G Mukundi Wachira, “Protecting Indigenous Peoples in Africa: An Analysis of the approach of the African Commission on Human and Peoples’ Rights’” (2006) </w:t>
      </w:r>
      <w:r w:rsidRPr="00BB2D76">
        <w:rPr>
          <w:rFonts w:ascii="Times New Roman" w:hAnsi="Times New Roman" w:cs="Times New Roman"/>
          <w:i/>
          <w:sz w:val="24"/>
          <w:szCs w:val="24"/>
        </w:rPr>
        <w:t>6 African Human Rights Law Journal 382.</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Megan Davis, </w:t>
      </w:r>
      <w:r w:rsidRPr="00BB2D76">
        <w:rPr>
          <w:rFonts w:ascii="Times New Roman" w:hAnsi="Times New Roman" w:cs="Times New Roman"/>
          <w:bCs/>
          <w:sz w:val="24"/>
          <w:szCs w:val="24"/>
        </w:rPr>
        <w:t xml:space="preserve">“To Bind or Not to Bind: The United Nations </w:t>
      </w:r>
      <w:r w:rsidRPr="00BB2D76">
        <w:rPr>
          <w:rFonts w:ascii="Times New Roman" w:hAnsi="Times New Roman" w:cs="Times New Roman"/>
          <w:bCs/>
          <w:i/>
          <w:iCs/>
          <w:sz w:val="24"/>
          <w:szCs w:val="24"/>
        </w:rPr>
        <w:t xml:space="preserve">Declaration on </w:t>
      </w:r>
      <w:r w:rsidRPr="00BB2D76">
        <w:rPr>
          <w:rFonts w:ascii="Times New Roman" w:hAnsi="Times New Roman" w:cs="Times New Roman"/>
          <w:i/>
          <w:iCs/>
          <w:sz w:val="24"/>
          <w:szCs w:val="24"/>
        </w:rPr>
        <w:t xml:space="preserve">the Rights of Indigenous Peoples </w:t>
      </w:r>
      <w:r w:rsidRPr="00BB2D76">
        <w:rPr>
          <w:rFonts w:ascii="Times New Roman" w:hAnsi="Times New Roman" w:cs="Times New Roman"/>
          <w:bCs/>
          <w:sz w:val="24"/>
          <w:szCs w:val="24"/>
        </w:rPr>
        <w:t>Five Years On”. (</w:t>
      </w:r>
      <w:r w:rsidRPr="00BB2D76">
        <w:rPr>
          <w:rFonts w:ascii="Times New Roman" w:hAnsi="Times New Roman" w:cs="Times New Roman"/>
          <w:sz w:val="24"/>
          <w:szCs w:val="24"/>
        </w:rPr>
        <w:t xml:space="preserve">2012) </w:t>
      </w:r>
      <w:r w:rsidRPr="00BB2D76">
        <w:rPr>
          <w:rFonts w:ascii="Times New Roman" w:hAnsi="Times New Roman" w:cs="Times New Roman"/>
          <w:i/>
          <w:sz w:val="24"/>
          <w:szCs w:val="24"/>
        </w:rPr>
        <w:t>19 Austl. Int'l L.J. 17</w:t>
      </w:r>
      <w:r w:rsidRPr="00BB2D76">
        <w:rPr>
          <w:rFonts w:ascii="Times New Roman" w:hAnsi="Times New Roman" w:cs="Times New Roman"/>
          <w:sz w:val="24"/>
          <w:szCs w:val="24"/>
        </w:rPr>
        <w:t xml:space="preserve">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Michael Holley, “Recognising the Rights of Indigenous People to their Traditional Lands: A Case Study of an Internally-Displaced Community in Guatemala.” (1997) 15 </w:t>
      </w:r>
      <w:r w:rsidRPr="00BB2D76">
        <w:rPr>
          <w:rFonts w:ascii="Times New Roman" w:hAnsi="Times New Roman" w:cs="Times New Roman"/>
          <w:i/>
          <w:sz w:val="24"/>
          <w:szCs w:val="24"/>
        </w:rPr>
        <w:t>Berkeley Journal of International Law</w:t>
      </w:r>
      <w:r w:rsidRPr="00BB2D76">
        <w:rPr>
          <w:rFonts w:ascii="Times New Roman" w:hAnsi="Times New Roman" w:cs="Times New Roman"/>
          <w:sz w:val="24"/>
          <w:szCs w:val="24"/>
        </w:rPr>
        <w:t>, 119</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Of the ILO Convention 169 on Indigenous Peoples”, </w:t>
      </w:r>
      <w:r w:rsidRPr="00BB2D76">
        <w:rPr>
          <w:rFonts w:ascii="Times New Roman" w:hAnsi="Times New Roman" w:cs="Times New Roman"/>
          <w:i/>
          <w:sz w:val="24"/>
          <w:szCs w:val="24"/>
        </w:rPr>
        <w:t>18 Int'l J. on Minority &amp; Group Rts. 433</w:t>
      </w:r>
      <w:r w:rsidRPr="00BB2D76">
        <w:rPr>
          <w:rFonts w:ascii="Times New Roman" w:hAnsi="Times New Roman" w:cs="Times New Roman"/>
          <w:sz w:val="24"/>
          <w:szCs w:val="24"/>
        </w:rPr>
        <w:t xml:space="preserve"> 2011.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Ricarda Roos, “Development Genocide and Ethnocide: Does International Law Curtail Development-Induced Displacement through the Prohibition of Genocide and Ethnocide?'” (1999) </w:t>
      </w:r>
      <w:r w:rsidRPr="00BB2D76">
        <w:rPr>
          <w:rFonts w:ascii="Times New Roman" w:hAnsi="Times New Roman" w:cs="Times New Roman"/>
          <w:i/>
          <w:iCs/>
          <w:sz w:val="24"/>
          <w:szCs w:val="24"/>
        </w:rPr>
        <w:t>Human Rights Brief</w:t>
      </w:r>
      <w:r w:rsidRPr="00BB2D76">
        <w:rPr>
          <w:rFonts w:ascii="Times New Roman" w:hAnsi="Times New Roman" w:cs="Times New Roman"/>
          <w:i/>
          <w:sz w:val="24"/>
          <w:szCs w:val="24"/>
        </w:rPr>
        <w:t>, Vol. 9(3):14-21,</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9D605C">
        <w:rPr>
          <w:rFonts w:ascii="Times New Roman" w:hAnsi="Times New Roman" w:cs="Times New Roman"/>
          <w:sz w:val="24"/>
          <w:szCs w:val="24"/>
          <w:lang w:val="de-AT"/>
        </w:rPr>
        <w:t xml:space="preserve">Shin Imiai, Ladan Mehranvar, Jennifer Sander.“ </w:t>
      </w:r>
      <w:r w:rsidRPr="00BB2D76">
        <w:rPr>
          <w:rFonts w:ascii="Times New Roman" w:hAnsi="Times New Roman" w:cs="Times New Roman"/>
          <w:sz w:val="24"/>
          <w:szCs w:val="24"/>
        </w:rPr>
        <w:t xml:space="preserve">Breaching Indigenous Law: Canadian mining in Guatemala.”  </w:t>
      </w:r>
      <w:r w:rsidRPr="00BB2D76">
        <w:rPr>
          <w:rFonts w:ascii="Times New Roman" w:hAnsi="Times New Roman" w:cs="Times New Roman"/>
          <w:i/>
          <w:sz w:val="24"/>
          <w:szCs w:val="24"/>
        </w:rPr>
        <w:t>6 Indigenous Law journal 101 2007</w:t>
      </w:r>
      <w:r w:rsidRPr="00BB2D76">
        <w:rPr>
          <w:rFonts w:ascii="Times New Roman" w:hAnsi="Times New Roman" w:cs="Times New Roman"/>
          <w:sz w:val="24"/>
          <w:szCs w:val="24"/>
        </w:rPr>
        <w:t>, Pp 109-115</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Thomas M. Franck.  “On Proportionality of Countermeasures in International Law” </w:t>
      </w:r>
      <w:r w:rsidRPr="00BB2D76">
        <w:rPr>
          <w:rFonts w:ascii="Times New Roman" w:hAnsi="Times New Roman" w:cs="Times New Roman"/>
          <w:i/>
          <w:sz w:val="24"/>
          <w:szCs w:val="24"/>
        </w:rPr>
        <w:t>102 Am. J. Int'l L. 715 2008</w:t>
      </w:r>
    </w:p>
    <w:p w:rsidR="00BC5C8B" w:rsidRPr="00BB2D76" w:rsidRDefault="00BC5C8B" w:rsidP="00BB2D76">
      <w:pPr>
        <w:spacing w:line="360" w:lineRule="auto"/>
        <w:rPr>
          <w:rFonts w:ascii="Times New Roman" w:hAnsi="Times New Roman" w:cs="Times New Roman"/>
          <w:sz w:val="24"/>
          <w:szCs w:val="24"/>
        </w:rPr>
      </w:pPr>
    </w:p>
    <w:p w:rsidR="00BC5C8B" w:rsidRPr="00BB2D76" w:rsidRDefault="00BC5C8B" w:rsidP="00BB2D76">
      <w:pPr>
        <w:spacing w:line="360" w:lineRule="auto"/>
        <w:rPr>
          <w:rFonts w:ascii="Times New Roman" w:hAnsi="Times New Roman" w:cs="Times New Roman"/>
          <w:i/>
          <w:sz w:val="24"/>
          <w:szCs w:val="24"/>
        </w:rPr>
      </w:pPr>
      <w:r w:rsidRPr="00BB2D76">
        <w:rPr>
          <w:rFonts w:ascii="Times New Roman" w:hAnsi="Times New Roman" w:cs="Times New Roman"/>
          <w:sz w:val="24"/>
          <w:szCs w:val="24"/>
        </w:rPr>
        <w:t>Tor Krever, “The Legal Turn in Late Development Theory: The Rule of Law and the World Bank's Development Model” (2011</w:t>
      </w:r>
      <w:r w:rsidRPr="00BB2D76">
        <w:rPr>
          <w:rFonts w:ascii="Times New Roman" w:hAnsi="Times New Roman" w:cs="Times New Roman"/>
          <w:i/>
          <w:sz w:val="24"/>
          <w:szCs w:val="24"/>
        </w:rPr>
        <w:t>) 52 Harv. Int'l L.J. 287</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Walter Kälin, “</w:t>
      </w:r>
      <w:r w:rsidRPr="00BB2D76">
        <w:rPr>
          <w:rFonts w:ascii="Times New Roman" w:hAnsi="Times New Roman" w:cs="Times New Roman"/>
          <w:bCs/>
          <w:sz w:val="24"/>
          <w:szCs w:val="24"/>
        </w:rPr>
        <w:t xml:space="preserve">Guiding Principles on Internal Displacement:  Annotations.” </w:t>
      </w:r>
      <w:r w:rsidRPr="00BB2D76">
        <w:rPr>
          <w:rFonts w:ascii="Times New Roman" w:hAnsi="Times New Roman" w:cs="Times New Roman"/>
          <w:i/>
          <w:sz w:val="24"/>
          <w:szCs w:val="24"/>
        </w:rPr>
        <w:t xml:space="preserve">Studies in Transnational Legal Policy, No. 32 </w:t>
      </w:r>
      <w:r w:rsidRPr="00BB2D76">
        <w:rPr>
          <w:rFonts w:ascii="Times New Roman" w:hAnsi="Times New Roman" w:cs="Times New Roman"/>
          <w:sz w:val="24"/>
          <w:szCs w:val="24"/>
        </w:rPr>
        <w:t xml:space="preserve">published by The American Society of International Law and The Brookings Institution Project on Internal Displacement, 2000.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
          <w:sz w:val="24"/>
          <w:szCs w:val="24"/>
        </w:rPr>
      </w:pPr>
      <w:r w:rsidRPr="00BB2D76">
        <w:rPr>
          <w:rFonts w:ascii="Times New Roman" w:hAnsi="Times New Roman" w:cs="Times New Roman"/>
          <w:sz w:val="24"/>
          <w:szCs w:val="24"/>
        </w:rPr>
        <w:t xml:space="preserve">Walter Kälin, “The Guiding Principles on Internal Displacement-Introduction”, </w:t>
      </w:r>
      <w:r w:rsidRPr="00BB2D76">
        <w:rPr>
          <w:rFonts w:ascii="Times New Roman" w:hAnsi="Times New Roman" w:cs="Times New Roman"/>
          <w:i/>
          <w:sz w:val="24"/>
          <w:szCs w:val="24"/>
        </w:rPr>
        <w:t xml:space="preserve">10 Int'l J. Refugee L. 557 1998,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Willem van Genugten, “Protection of Indigenous People on the African Continent: Concepts, Position Seeking, and the Interaction of Legal Systems”. (January 2010)</w:t>
      </w:r>
      <w:r w:rsidRPr="00BB2D76">
        <w:rPr>
          <w:rFonts w:ascii="Times New Roman" w:hAnsi="Times New Roman" w:cs="Times New Roman"/>
          <w:i/>
          <w:sz w:val="24"/>
          <w:szCs w:val="24"/>
        </w:rPr>
        <w:t>The American Journal of International Law, Vol. 104, No. 1</w:t>
      </w:r>
      <w:r w:rsidRPr="00BB2D76">
        <w:rPr>
          <w:rFonts w:ascii="Times New Roman" w:hAnsi="Times New Roman" w:cs="Times New Roman"/>
          <w:sz w:val="24"/>
          <w:szCs w:val="24"/>
        </w:rPr>
        <w:t xml:space="preserve"> </w:t>
      </w:r>
    </w:p>
    <w:p w:rsidR="00BC5C8B" w:rsidRPr="00B37919" w:rsidRDefault="00BC5C8B" w:rsidP="00BB2D76">
      <w:pPr>
        <w:spacing w:line="360" w:lineRule="auto"/>
        <w:rPr>
          <w:rFonts w:ascii="Times New Roman" w:hAnsi="Times New Roman" w:cs="Times New Roman"/>
          <w:b/>
          <w:sz w:val="24"/>
          <w:szCs w:val="24"/>
        </w:rPr>
      </w:pPr>
    </w:p>
    <w:p w:rsidR="00BC5C8B" w:rsidRDefault="00BC5C8B" w:rsidP="00BB2D76">
      <w:pPr>
        <w:pStyle w:val="Heading3"/>
        <w:spacing w:line="360" w:lineRule="auto"/>
      </w:pPr>
      <w:bookmarkStart w:id="50" w:name="_Toc399848382"/>
      <w:r>
        <w:t>Reports</w:t>
      </w:r>
      <w:bookmarkEnd w:id="50"/>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2005 report of the African Commission’s Working Group of Experts on Indigenous Populations/Communities Submitted in accordance with the “Resolution on the Rights of Indigenous Populations/Communities in Africa” Adopted by The African Commission on Human and Peoples’ Rights at its 28th ordinary session, at P.89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bCs/>
          <w:sz w:val="24"/>
          <w:szCs w:val="24"/>
        </w:rPr>
      </w:pPr>
      <w:r w:rsidRPr="00BB2D76">
        <w:rPr>
          <w:rFonts w:ascii="Times New Roman" w:hAnsi="Times New Roman" w:cs="Times New Roman"/>
          <w:sz w:val="24"/>
          <w:szCs w:val="24"/>
        </w:rPr>
        <w:t xml:space="preserve">African Commission on Human and Peoples' Rights, Advisory Opinion of the African Commission Human and Peoples' Rights on the United Nations Declaration on the Rights </w:t>
      </w:r>
      <w:r w:rsidRPr="00BB2D76">
        <w:rPr>
          <w:rFonts w:ascii="Times New Roman" w:hAnsi="Times New Roman" w:cs="Times New Roman"/>
          <w:bCs/>
          <w:sz w:val="24"/>
          <w:szCs w:val="24"/>
        </w:rPr>
        <w:t xml:space="preserve">of </w:t>
      </w:r>
      <w:r w:rsidRPr="00BB2D76">
        <w:rPr>
          <w:rFonts w:ascii="Times New Roman" w:hAnsi="Times New Roman" w:cs="Times New Roman"/>
          <w:sz w:val="24"/>
          <w:szCs w:val="24"/>
        </w:rPr>
        <w:t xml:space="preserve">indigenous Peoples, (adopted </w:t>
      </w:r>
      <w:r w:rsidRPr="00BB2D76">
        <w:rPr>
          <w:rFonts w:ascii="Times New Roman" w:hAnsi="Times New Roman" w:cs="Times New Roman"/>
          <w:bCs/>
          <w:sz w:val="24"/>
          <w:szCs w:val="24"/>
        </w:rPr>
        <w:t xml:space="preserve">by </w:t>
      </w:r>
      <w:r w:rsidRPr="00BB2D76">
        <w:rPr>
          <w:rFonts w:ascii="Times New Roman" w:hAnsi="Times New Roman" w:cs="Times New Roman"/>
          <w:sz w:val="24"/>
          <w:szCs w:val="24"/>
        </w:rPr>
        <w:t xml:space="preserve">the 41st ordinary session, </w:t>
      </w:r>
      <w:r w:rsidRPr="00BB2D76">
        <w:rPr>
          <w:rFonts w:ascii="Times New Roman" w:hAnsi="Times New Roman" w:cs="Times New Roman"/>
          <w:bCs/>
          <w:sz w:val="24"/>
          <w:szCs w:val="24"/>
        </w:rPr>
        <w:t xml:space="preserve">16- </w:t>
      </w:r>
      <w:r w:rsidRPr="00BB2D76">
        <w:rPr>
          <w:rFonts w:ascii="Times New Roman" w:hAnsi="Times New Roman" w:cs="Times New Roman"/>
          <w:sz w:val="24"/>
          <w:szCs w:val="24"/>
        </w:rPr>
        <w:t xml:space="preserve">30 May </w:t>
      </w:r>
      <w:r w:rsidRPr="00BB2D76">
        <w:rPr>
          <w:rFonts w:ascii="Times New Roman" w:hAnsi="Times New Roman" w:cs="Times New Roman"/>
          <w:bCs/>
          <w:sz w:val="24"/>
          <w:szCs w:val="24"/>
        </w:rPr>
        <w:t>2007)</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Anthony Oliver-Smith, “</w:t>
      </w:r>
      <w:r w:rsidRPr="00BB2D76">
        <w:rPr>
          <w:rFonts w:ascii="Times New Roman" w:hAnsi="Times New Roman" w:cs="Times New Roman"/>
          <w:bCs/>
          <w:sz w:val="24"/>
          <w:szCs w:val="24"/>
        </w:rPr>
        <w:t>DISPLACEMENT, RESISTANCE AND THE CRITIQUE OF DEVELOPMENT: FROM THE GRASS ROOTS TO THE GLOBAL</w:t>
      </w:r>
      <w:r w:rsidRPr="00BB2D76">
        <w:rPr>
          <w:rFonts w:ascii="Times New Roman" w:hAnsi="Times New Roman" w:cs="Times New Roman"/>
          <w:sz w:val="24"/>
          <w:szCs w:val="24"/>
        </w:rPr>
        <w:t xml:space="preserve">” (2001) </w:t>
      </w:r>
    </w:p>
    <w:p w:rsidR="00BC5C8B" w:rsidRPr="00BB2D76" w:rsidRDefault="00BC5C8B" w:rsidP="00BB2D76">
      <w:pPr>
        <w:pStyle w:val="NoSpacing"/>
        <w:spacing w:line="360" w:lineRule="auto"/>
        <w:rPr>
          <w:rFonts w:ascii="Times New Roman" w:hAnsi="Times New Roman" w:cs="Times New Roman"/>
          <w:bCs/>
          <w:sz w:val="24"/>
          <w:szCs w:val="24"/>
        </w:rPr>
      </w:pPr>
      <w:r w:rsidRPr="00BB2D76">
        <w:rPr>
          <w:rFonts w:ascii="Times New Roman" w:hAnsi="Times New Roman" w:cs="Times New Roman"/>
          <w:bCs/>
          <w:i/>
          <w:sz w:val="24"/>
          <w:szCs w:val="24"/>
        </w:rPr>
        <w:t>Final Report Prepared for ESCOR R7644 and the Research Programme on Development Induced Displacement and Resettlement</w:t>
      </w:r>
      <w:r w:rsidRPr="00BB2D76">
        <w:rPr>
          <w:rFonts w:ascii="Times New Roman" w:hAnsi="Times New Roman" w:cs="Times New Roman"/>
          <w:bCs/>
          <w:sz w:val="24"/>
          <w:szCs w:val="24"/>
        </w:rPr>
        <w:t xml:space="preserve">, Refugee Studies Centre University of Oxford;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eastAsia="Times New Roman" w:hAnsi="Times New Roman" w:cs="Times New Roman"/>
          <w:sz w:val="24"/>
          <w:szCs w:val="24"/>
        </w:rPr>
      </w:pPr>
      <w:r w:rsidRPr="00BB2D76">
        <w:rPr>
          <w:rFonts w:ascii="Times New Roman" w:hAnsi="Times New Roman" w:cs="Times New Roman"/>
          <w:sz w:val="24"/>
          <w:szCs w:val="24"/>
        </w:rPr>
        <w:t xml:space="preserve">Asbjørn </w:t>
      </w:r>
      <w:r w:rsidRPr="00BB2D76">
        <w:rPr>
          <w:rFonts w:ascii="Times New Roman" w:eastAsia="Times New Roman" w:hAnsi="Times New Roman" w:cs="Times New Roman"/>
          <w:sz w:val="24"/>
          <w:szCs w:val="24"/>
        </w:rPr>
        <w:t>Eide and Erika-Irene Daes, “Working paper on the relationship and distinction between the rights of persons belonging to minorities and those of indigenous peoples”, UN Doc E/CN.4/ Sub.2/2000/10 20. 19</w:t>
      </w:r>
      <w:r w:rsidRPr="00BB2D76">
        <w:rPr>
          <w:rFonts w:ascii="Times New Roman" w:eastAsia="Times New Roman" w:hAnsi="Times New Roman" w:cs="Times New Roman"/>
          <w:sz w:val="24"/>
          <w:szCs w:val="24"/>
          <w:vertAlign w:val="superscript"/>
        </w:rPr>
        <w:t>th</w:t>
      </w:r>
      <w:r w:rsidRPr="00BB2D76">
        <w:rPr>
          <w:rFonts w:ascii="Times New Roman" w:eastAsia="Times New Roman" w:hAnsi="Times New Roman" w:cs="Times New Roman"/>
          <w:sz w:val="24"/>
          <w:szCs w:val="24"/>
        </w:rPr>
        <w:t xml:space="preserve"> July 2000 </w:t>
      </w:r>
    </w:p>
    <w:p w:rsidR="00BC5C8B" w:rsidRPr="00BB2D76" w:rsidRDefault="00BC5C8B" w:rsidP="00D65630">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Guiding Principles on Business and Human Rights Implementing the United Nations “Protect, Respect and Remedy” Framework (A/HRC/17/31)  </w:t>
      </w:r>
    </w:p>
    <w:p w:rsidR="00BC5C8B" w:rsidRDefault="00BC5C8B" w:rsidP="00D65630">
      <w:pPr>
        <w:pStyle w:val="NoSpacing"/>
        <w:spacing w:line="360" w:lineRule="auto"/>
        <w:rPr>
          <w:rFonts w:ascii="Times New Roman" w:hAnsi="Times New Roman" w:cs="Times New Roman"/>
          <w:iCs/>
          <w:sz w:val="24"/>
          <w:szCs w:val="24"/>
        </w:rPr>
      </w:pPr>
    </w:p>
    <w:p w:rsidR="00D65630" w:rsidRPr="004E4268" w:rsidRDefault="00D65630" w:rsidP="00D65630">
      <w:pPr>
        <w:pStyle w:val="NoSpacing"/>
        <w:spacing w:line="360" w:lineRule="auto"/>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 xml:space="preserve">Human Rights Council </w:t>
      </w:r>
      <w:r w:rsidRPr="004E4268">
        <w:rPr>
          <w:rFonts w:ascii="Times New Roman" w:hAnsi="Times New Roman" w:cs="Times New Roman"/>
          <w:sz w:val="24"/>
          <w:szCs w:val="24"/>
          <w:shd w:val="clear" w:color="auto" w:fill="F9F9F9"/>
        </w:rPr>
        <w:t xml:space="preserve">Expert Mechanism on the Rights of Indigenous Peoples: </w:t>
      </w:r>
      <w:r w:rsidRPr="00D65630">
        <w:rPr>
          <w:rFonts w:ascii="Times New Roman" w:hAnsi="Times New Roman" w:cs="Times New Roman"/>
          <w:sz w:val="24"/>
          <w:szCs w:val="24"/>
          <w:shd w:val="clear" w:color="auto" w:fill="F9F9F9"/>
        </w:rPr>
        <w:t>Fifth session9-13 July 2012</w:t>
      </w:r>
      <w:r>
        <w:rPr>
          <w:rFonts w:ascii="Times New Roman" w:hAnsi="Times New Roman" w:cs="Times New Roman"/>
          <w:sz w:val="24"/>
          <w:szCs w:val="24"/>
          <w:shd w:val="clear" w:color="auto" w:fill="F9F9F9"/>
        </w:rPr>
        <w:t xml:space="preserve"> </w:t>
      </w:r>
      <w:r w:rsidRPr="004E4268">
        <w:rPr>
          <w:rFonts w:ascii="Times New Roman" w:hAnsi="Times New Roman" w:cs="Times New Roman"/>
          <w:sz w:val="24"/>
          <w:szCs w:val="24"/>
          <w:shd w:val="clear" w:color="auto" w:fill="F9F9F9"/>
        </w:rPr>
        <w:t xml:space="preserve">Study on the role of languages and culture in the promotion </w:t>
      </w:r>
    </w:p>
    <w:p w:rsidR="00D65630" w:rsidRDefault="00D65630" w:rsidP="00D65630">
      <w:pPr>
        <w:pStyle w:val="NoSpacing"/>
        <w:spacing w:line="360" w:lineRule="auto"/>
        <w:rPr>
          <w:rFonts w:ascii="Times New Roman" w:hAnsi="Times New Roman" w:cs="Times New Roman"/>
          <w:sz w:val="24"/>
          <w:szCs w:val="24"/>
        </w:rPr>
      </w:pPr>
      <w:r w:rsidRPr="004E4268">
        <w:rPr>
          <w:rFonts w:ascii="Times New Roman" w:hAnsi="Times New Roman" w:cs="Times New Roman"/>
          <w:sz w:val="24"/>
          <w:szCs w:val="24"/>
          <w:shd w:val="clear" w:color="auto" w:fill="F9F9F9"/>
        </w:rPr>
        <w:t>and protection of the rights and identity of indigenous people</w:t>
      </w:r>
      <w:r>
        <w:rPr>
          <w:rFonts w:ascii="Times New Roman" w:hAnsi="Times New Roman" w:cs="Times New Roman"/>
          <w:sz w:val="24"/>
          <w:szCs w:val="24"/>
        </w:rPr>
        <w:t xml:space="preserve"> A/HRC/EMRIP/2012/3 </w:t>
      </w:r>
    </w:p>
    <w:p w:rsidR="00D65630" w:rsidRPr="00D65630" w:rsidRDefault="00D65630" w:rsidP="00D65630">
      <w:pPr>
        <w:pStyle w:val="NoSpacing"/>
        <w:spacing w:line="360" w:lineRule="auto"/>
        <w:rPr>
          <w:rFonts w:ascii="Times New Roman" w:hAnsi="Times New Roman" w:cs="Times New Roman"/>
          <w:iCs/>
          <w:sz w:val="24"/>
          <w:szCs w:val="24"/>
        </w:rPr>
      </w:pPr>
    </w:p>
    <w:p w:rsidR="00BC5C8B" w:rsidRPr="00BB2D76" w:rsidRDefault="00BC5C8B" w:rsidP="00D65630">
      <w:pPr>
        <w:pStyle w:val="NoSpacing"/>
        <w:spacing w:line="360" w:lineRule="auto"/>
        <w:rPr>
          <w:rStyle w:val="HTMLCite"/>
        </w:rPr>
      </w:pPr>
      <w:r w:rsidRPr="00BB2D76">
        <w:rPr>
          <w:rFonts w:ascii="Times New Roman" w:hAnsi="Times New Roman" w:cs="Times New Roman"/>
          <w:i/>
          <w:iCs/>
          <w:sz w:val="24"/>
          <w:szCs w:val="24"/>
        </w:rPr>
        <w:t>Indigenous people and their relationship to land</w:t>
      </w:r>
      <w:r w:rsidRPr="00BB2D76">
        <w:rPr>
          <w:rFonts w:ascii="Times New Roman" w:hAnsi="Times New Roman" w:cs="Times New Roman"/>
          <w:sz w:val="24"/>
          <w:szCs w:val="24"/>
        </w:rPr>
        <w:t>. Final working paper prepared by Erica-Irene A. Daes, Special Rapporteur. UN Doc. E/CN.4/Sub.2/2001/21. (2001)</w:t>
      </w:r>
      <w:r w:rsidRPr="00BB2D76">
        <w:rPr>
          <w:rStyle w:val="HTMLCite"/>
          <w:rFonts w:ascii="Times New Roman" w:hAnsi="Times New Roman" w:cs="Times New Roman"/>
          <w:i w:val="0"/>
          <w:sz w:val="24"/>
          <w:szCs w:val="24"/>
        </w:rPr>
        <w:t xml:space="preserve">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International Working Group for Indigenous Affairs, Strategy for the 2nd Decade on Indigenous Peoples (June 2005)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Mattias Ahrén, “The Provisions on Lands, Territories and Natural Resources in the UN Declaration on the Rights Indigenous Peoples: an Introduction.” Pp.206-211 In Claire Charters and Rodolfo Stavenhagen (eds), Making the Declaration Work: The United Nations Declaration on the Rights of Indigenous Peoples (IWGIA  2009)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“Maze of Injustice” Amnesty International, 2007</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Miloon Kothari , “Report of the Special Rapporteur on adequate housing as a component of the right to an adequate standard of living, and on the right to </w:t>
      </w: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 non-discrimination” E/CN.4/2006/41 14 March 2006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REPORT OF THE FOUR MEMBER COMMITTEE FOR INVESTIGATION INTO THE PROPOSAL SUBMITTED BY THE ORISSA MINING COMPANY FOR BAUXITE MINING IN NIYAMGIRI August 16, 2010 by Dr N C Saxena,  Dr S Parasuraman, Dr Promode Kant, Dr Amita Baviskar Submitted to the Ministry of Environment &amp; Forests Government of India New Delhi </w:t>
      </w:r>
    </w:p>
    <w:p w:rsidR="00BC5C8B" w:rsidRPr="00BB2D76" w:rsidRDefault="00BC5C8B" w:rsidP="00BB2D76">
      <w:pPr>
        <w:pStyle w:val="NoSpacing"/>
        <w:spacing w:line="360" w:lineRule="auto"/>
        <w:rPr>
          <w:rFonts w:ascii="Times New Roman" w:hAnsi="Times New Roman" w:cs="Times New Roman"/>
          <w:caps/>
          <w:sz w:val="24"/>
          <w:szCs w:val="24"/>
          <w:lang w:val="en-US"/>
        </w:rPr>
      </w:pPr>
    </w:p>
    <w:p w:rsidR="00BC5C8B" w:rsidRPr="00BB2D76" w:rsidRDefault="00BC5C8B" w:rsidP="00BB2D76">
      <w:pPr>
        <w:pStyle w:val="NoSpacing"/>
        <w:spacing w:line="360" w:lineRule="auto"/>
        <w:rPr>
          <w:rFonts w:ascii="Times New Roman" w:hAnsi="Times New Roman" w:cs="Times New Roman"/>
          <w:b/>
          <w:sz w:val="24"/>
          <w:szCs w:val="24"/>
        </w:rPr>
      </w:pPr>
      <w:r w:rsidRPr="00BB2D76">
        <w:rPr>
          <w:rFonts w:ascii="Times New Roman" w:hAnsi="Times New Roman" w:cs="Times New Roman"/>
          <w:caps/>
          <w:sz w:val="24"/>
          <w:szCs w:val="24"/>
          <w:lang w:val="en-US"/>
        </w:rPr>
        <w:t>report of the rapporteur</w:t>
      </w:r>
      <w:r w:rsidRPr="00BB2D76">
        <w:rPr>
          <w:rFonts w:ascii="Times New Roman" w:hAnsi="Times New Roman" w:cs="Times New Roman"/>
          <w:sz w:val="24"/>
          <w:szCs w:val="24"/>
          <w:lang w:val="en-US"/>
        </w:rPr>
        <w:t xml:space="preserve"> Meeting of the Working Group on the Fifth Section of the Draft Declaration with special emphasis on “Traditional Forms of Ownership and Cultural Survival, Right to Land and Territories”,</w:t>
      </w:r>
      <w:r w:rsidRPr="00BB2D76">
        <w:rPr>
          <w:rFonts w:ascii="Times New Roman" w:hAnsi="Times New Roman" w:cs="Times New Roman"/>
          <w:sz w:val="24"/>
          <w:szCs w:val="24"/>
        </w:rPr>
        <w:t xml:space="preserve"> Osvaldo Kreimer. </w:t>
      </w:r>
      <w:r w:rsidRPr="00BB2D76">
        <w:rPr>
          <w:rFonts w:ascii="Times New Roman" w:hAnsi="Times New Roman" w:cs="Times New Roman"/>
          <w:sz w:val="24"/>
          <w:szCs w:val="24"/>
          <w:lang w:val="en-US"/>
        </w:rPr>
        <w:t>COMMITTEE ON JURIDICAL AND POLITICAL AFFAIRS Working Group to Prepare the Draft American Declaration on the Rights of Indigenous Peoples</w:t>
      </w:r>
      <w:r w:rsidRPr="00BB2D76">
        <w:rPr>
          <w:rFonts w:ascii="Times New Roman" w:hAnsi="Times New Roman" w:cs="Times New Roman"/>
          <w:b/>
          <w:sz w:val="24"/>
          <w:szCs w:val="24"/>
        </w:rPr>
        <w:t xml:space="preserve">.  </w:t>
      </w:r>
    </w:p>
    <w:p w:rsidR="00BC5C8B" w:rsidRPr="00BB2D76" w:rsidRDefault="00BC5C8B" w:rsidP="00BB2D76">
      <w:pPr>
        <w:pStyle w:val="NoSpacing"/>
        <w:spacing w:line="360" w:lineRule="auto"/>
        <w:rPr>
          <w:rFonts w:ascii="Times New Roman" w:hAnsi="Times New Roman" w:cs="Times New Roman"/>
          <w:b/>
          <w:sz w:val="24"/>
          <w:szCs w:val="24"/>
        </w:rPr>
      </w:pPr>
    </w:p>
    <w:p w:rsidR="00BC5C8B" w:rsidRPr="00BB2D76" w:rsidRDefault="00BC5C8B" w:rsidP="00BB2D76">
      <w:pPr>
        <w:pStyle w:val="NoSpacing"/>
        <w:spacing w:line="360" w:lineRule="auto"/>
        <w:rPr>
          <w:rFonts w:ascii="Times New Roman" w:hAnsi="Times New Roman" w:cs="Times New Roman"/>
          <w:sz w:val="24"/>
          <w:szCs w:val="24"/>
          <w:lang w:val="en-US"/>
        </w:rPr>
      </w:pPr>
      <w:r w:rsidRPr="00BB2D76">
        <w:rPr>
          <w:rFonts w:ascii="Times New Roman" w:hAnsi="Times New Roman" w:cs="Times New Roman"/>
          <w:sz w:val="24"/>
          <w:szCs w:val="24"/>
          <w:lang w:val="en-US"/>
        </w:rPr>
        <w:t>PERMANENT COUNCIL OF ORGANIZATION OF AMERICAN STATES</w:t>
      </w:r>
      <w:r w:rsidRPr="00BB2D76">
        <w:rPr>
          <w:rFonts w:ascii="Times New Roman" w:hAnsi="Times New Roman" w:cs="Times New Roman"/>
          <w:sz w:val="24"/>
          <w:szCs w:val="24"/>
          <w:lang w:val="en-US"/>
        </w:rPr>
        <w:tab/>
      </w: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Report of the Representative of the Secretary-General on the  human rights of internally displaced persons, Walter Kälin UN. Doc A/HRC/13/21/ (5th Jan 2010)</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Sean Avery, “</w:t>
      </w:r>
      <w:r w:rsidRPr="00BB2D76">
        <w:rPr>
          <w:rFonts w:ascii="Times New Roman" w:hAnsi="Times New Roman" w:cs="Times New Roman"/>
          <w:i/>
          <w:sz w:val="24"/>
          <w:szCs w:val="24"/>
        </w:rPr>
        <w:t>Lake Turkana and the Lower Omo: Hydrological Impacts of Major Dam and Irrigations Developments</w:t>
      </w:r>
      <w:r w:rsidRPr="00BB2D76">
        <w:rPr>
          <w:rFonts w:ascii="Times New Roman" w:hAnsi="Times New Roman" w:cs="Times New Roman"/>
          <w:sz w:val="24"/>
          <w:szCs w:val="24"/>
        </w:rPr>
        <w:t>” (2102) Volume 1 Report, African Studies Centre, University of Oxford</w:t>
      </w:r>
    </w:p>
    <w:p w:rsidR="00BC5C8B" w:rsidRPr="00BB2D76" w:rsidRDefault="00BC5C8B" w:rsidP="00BB2D76">
      <w:pPr>
        <w:pStyle w:val="NoSpacing"/>
        <w:spacing w:line="360" w:lineRule="auto"/>
        <w:rPr>
          <w:rFonts w:ascii="Times New Roman" w:hAnsi="Times New Roman" w:cs="Times New Roman"/>
          <w:i/>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i/>
          <w:sz w:val="24"/>
          <w:szCs w:val="24"/>
        </w:rPr>
        <w:t>State of the world’s Indigenous People</w:t>
      </w:r>
      <w:r w:rsidRPr="00BB2D76">
        <w:rPr>
          <w:rFonts w:ascii="Times New Roman" w:hAnsi="Times New Roman" w:cs="Times New Roman"/>
          <w:sz w:val="24"/>
          <w:szCs w:val="24"/>
        </w:rPr>
        <w:t xml:space="preserve">s, UN Permanent Forum on Indigenous Issues (hereafter UNPFII). ST/ESA/328.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w:t>
      </w:r>
      <w:r w:rsidRPr="00BB2D76">
        <w:rPr>
          <w:rFonts w:ascii="Times New Roman" w:hAnsi="Times New Roman" w:cs="Times New Roman"/>
          <w:i/>
          <w:sz w:val="24"/>
          <w:szCs w:val="24"/>
        </w:rPr>
        <w:t>The content of the Declaration: Lands, territories and resources; development with identity; and redress and compensation</w:t>
      </w:r>
      <w:r w:rsidRPr="00BB2D76">
        <w:rPr>
          <w:rFonts w:ascii="Times New Roman" w:hAnsi="Times New Roman" w:cs="Times New Roman"/>
          <w:sz w:val="24"/>
          <w:szCs w:val="24"/>
        </w:rPr>
        <w:t>”, Ch 4, in, The United Nations Declaration on the Rights of Indigenous Peoples: A Manual for National Human Rights Institutions, 2014</w:t>
      </w:r>
    </w:p>
    <w:p w:rsidR="00BC5C8B" w:rsidRPr="00BB2D76" w:rsidRDefault="00BC5C8B" w:rsidP="00BB2D76">
      <w:pPr>
        <w:pStyle w:val="FootnoteText"/>
        <w:spacing w:line="360" w:lineRule="auto"/>
        <w:rPr>
          <w:rFonts w:ascii="Times New Roman" w:eastAsia="Times New Roman" w:hAnsi="Times New Roman" w:cs="Times New Roman"/>
          <w:bCs/>
          <w:color w:val="000000"/>
          <w:sz w:val="24"/>
          <w:szCs w:val="24"/>
        </w:rPr>
      </w:pPr>
    </w:p>
    <w:p w:rsidR="00BC5C8B" w:rsidRPr="00BB2D76" w:rsidRDefault="00BC5C8B" w:rsidP="00BB2D76">
      <w:pPr>
        <w:pStyle w:val="FootnoteText"/>
        <w:spacing w:line="360" w:lineRule="auto"/>
        <w:rPr>
          <w:rFonts w:ascii="Times New Roman" w:hAnsi="Times New Roman" w:cs="Times New Roman"/>
          <w:sz w:val="24"/>
          <w:szCs w:val="24"/>
        </w:rPr>
      </w:pPr>
      <w:r w:rsidRPr="00BB2D76">
        <w:rPr>
          <w:rFonts w:ascii="Times New Roman" w:eastAsia="Times New Roman" w:hAnsi="Times New Roman" w:cs="Times New Roman"/>
          <w:bCs/>
          <w:color w:val="000000"/>
          <w:sz w:val="24"/>
          <w:szCs w:val="24"/>
        </w:rPr>
        <w:t xml:space="preserve">United Nations </w:t>
      </w:r>
      <w:r w:rsidRPr="00BB2D76">
        <w:rPr>
          <w:rFonts w:ascii="Times New Roman" w:hAnsi="Times New Roman" w:cs="Times New Roman"/>
          <w:sz w:val="24"/>
          <w:szCs w:val="24"/>
        </w:rPr>
        <w:t>Special Rapporteur of the Sub-Commission on Prevention of Discrimination and Protection of Minorities. UN Doc. E/CN.4/Sub.2/1986/7 and Add.1-4</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United Nations, General Assembly </w:t>
      </w:r>
      <w:hyperlink r:id="rId8" w:history="1">
        <w:r w:rsidRPr="00BB2D76">
          <w:rPr>
            <w:rStyle w:val="Hyperlink"/>
            <w:rFonts w:ascii="Times New Roman" w:hAnsi="Times New Roman" w:cs="Times New Roman"/>
            <w:color w:val="auto"/>
            <w:sz w:val="24"/>
            <w:szCs w:val="24"/>
            <w:u w:val="none"/>
          </w:rPr>
          <w:t>Report, Extractive industries and indigenous peoples. Report of the Special Rapporteur on the rights of indigenous peoples</w:t>
        </w:r>
      </w:hyperlink>
      <w:r w:rsidRPr="00BB2D76">
        <w:rPr>
          <w:rFonts w:ascii="Times New Roman" w:hAnsi="Times New Roman" w:cs="Times New Roman"/>
          <w:sz w:val="24"/>
          <w:szCs w:val="24"/>
        </w:rPr>
        <w:t>. James Anaya, A/HRC/24/41 (2013).</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United Nations, General Assembly, </w:t>
      </w:r>
      <w:r w:rsidRPr="00BB2D76">
        <w:rPr>
          <w:rFonts w:ascii="Times New Roman" w:hAnsi="Times New Roman" w:cs="Times New Roman"/>
          <w:i/>
          <w:sz w:val="24"/>
          <w:szCs w:val="24"/>
        </w:rPr>
        <w:t xml:space="preserve">Extractive industries operating within or near indigenous territories: Report of the Special Rapporteur on the rights of indigenous peoples, </w:t>
      </w:r>
      <w:r w:rsidRPr="00BB2D76">
        <w:rPr>
          <w:rFonts w:ascii="Times New Roman" w:hAnsi="Times New Roman" w:cs="Times New Roman"/>
          <w:sz w:val="24"/>
          <w:szCs w:val="24"/>
        </w:rPr>
        <w:t xml:space="preserve">James Anaya. A/HRC/18/35 (11th July 2011) </w:t>
      </w:r>
    </w:p>
    <w:p w:rsidR="00BC5C8B" w:rsidRDefault="00BC5C8B" w:rsidP="00BC5C8B">
      <w:pPr>
        <w:pStyle w:val="NoSpacing"/>
        <w:spacing w:line="360" w:lineRule="auto"/>
        <w:rPr>
          <w:rFonts w:ascii="Times New Roman" w:hAnsi="Times New Roman" w:cs="Times New Roman"/>
          <w:sz w:val="24"/>
          <w:szCs w:val="24"/>
        </w:rPr>
      </w:pPr>
    </w:p>
    <w:p w:rsidR="00BC5C8B" w:rsidRPr="002506F4" w:rsidRDefault="00BC5C8B" w:rsidP="00BC5C8B">
      <w:pPr>
        <w:spacing w:line="360" w:lineRule="auto"/>
        <w:rPr>
          <w:rFonts w:ascii="Times New Roman" w:hAnsi="Times New Roman" w:cs="Times New Roman"/>
          <w:b/>
          <w:sz w:val="24"/>
          <w:szCs w:val="24"/>
        </w:rPr>
      </w:pPr>
    </w:p>
    <w:p w:rsidR="00BC5C8B" w:rsidRDefault="00BC5C8B" w:rsidP="00BB2D76">
      <w:pPr>
        <w:pStyle w:val="Heading3"/>
        <w:spacing w:line="360" w:lineRule="auto"/>
      </w:pPr>
      <w:bookmarkStart w:id="51" w:name="_Toc399848383"/>
      <w:r>
        <w:t>Internet</w:t>
      </w:r>
      <w:bookmarkEnd w:id="51"/>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“Advancing Indigenous Peoples' Rights in Ecuador : The State of Indigenous Rights in Ecuador”, (2011)  Available at: http://amazonwatch.org/work/advancing-indigenous-peoples-rights-in-ecuador -Accessed 19/09/2014</w:t>
      </w:r>
    </w:p>
    <w:p w:rsidR="00BC5C8B" w:rsidRPr="00BB2D76" w:rsidRDefault="00BC5C8B" w:rsidP="00BB2D76">
      <w:pPr>
        <w:pStyle w:val="NoSpacing"/>
        <w:spacing w:line="360" w:lineRule="auto"/>
        <w:rPr>
          <w:rFonts w:ascii="Times New Roman" w:hAnsi="Times New Roman" w:cs="Times New Roman"/>
          <w:sz w:val="24"/>
          <w:szCs w:val="24"/>
        </w:rPr>
      </w:pPr>
    </w:p>
    <w:p w:rsidR="00BB2D76" w:rsidRPr="00BB2D76" w:rsidRDefault="00BB2D76"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Anthony Bebbington, “The New Extraction: Rewriting the Political Ecology of the Andes?” Nacla Report on the Americas, </w:t>
      </w:r>
      <w:r w:rsidRPr="00BB2D76">
        <w:rPr>
          <w:rStyle w:val="A0"/>
          <w:rFonts w:ascii="Times New Roman" w:hAnsi="Times New Roman" w:cs="Times New Roman"/>
          <w:b w:val="0"/>
          <w:bCs w:val="0"/>
          <w:color w:val="auto"/>
          <w:sz w:val="24"/>
          <w:szCs w:val="24"/>
        </w:rPr>
        <w:t>September/October 2009. Available at:</w:t>
      </w:r>
      <w:r w:rsidRPr="00BB2D76">
        <w:rPr>
          <w:rStyle w:val="A0"/>
          <w:rFonts w:ascii="Times New Roman" w:hAnsi="Times New Roman" w:cs="Times New Roman"/>
          <w:bCs w:val="0"/>
          <w:color w:val="auto"/>
          <w:sz w:val="24"/>
          <w:szCs w:val="24"/>
        </w:rPr>
        <w:t xml:space="preserve"> </w:t>
      </w:r>
      <w:r w:rsidRPr="00BB2D76">
        <w:rPr>
          <w:rFonts w:ascii="Times New Roman" w:hAnsi="Times New Roman" w:cs="Times New Roman"/>
          <w:sz w:val="24"/>
          <w:szCs w:val="24"/>
        </w:rPr>
        <w:t xml:space="preserve">www.sed.manchester.ac.uk/research/andes/.../bebbington_naclareport.pd. Accessed 7/08/2104 </w:t>
      </w:r>
    </w:p>
    <w:p w:rsidR="00BB2D76" w:rsidRPr="00BB2D76" w:rsidRDefault="00BB2D76"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Arundhati Roy, </w:t>
      </w:r>
      <w:r w:rsidRPr="00BB2D76">
        <w:rPr>
          <w:rFonts w:ascii="Times New Roman" w:hAnsi="Times New Roman" w:cs="Times New Roman"/>
          <w:i/>
          <w:sz w:val="24"/>
          <w:szCs w:val="24"/>
        </w:rPr>
        <w:t>“The Greater Common Good”</w:t>
      </w:r>
      <w:r w:rsidRPr="00BB2D76">
        <w:rPr>
          <w:rFonts w:ascii="Times New Roman" w:hAnsi="Times New Roman" w:cs="Times New Roman"/>
          <w:sz w:val="24"/>
          <w:szCs w:val="24"/>
        </w:rPr>
        <w:t xml:space="preserve"> (1999) Available at: http://www.narmada.org/gcg/gcg.html-Accessed 27/09/2104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Canada’s Statement on the World Conference on Indigenous Peoples Outcome Document. Available at: http://nationtalk.ca/story/canadas-statement-on-the-world-conference-on-indigenous-peoples-outcome-document/-Accessed 24/09/2014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eastAsia="Times New Roman" w:hAnsi="Times New Roman" w:cs="Times New Roman"/>
          <w:kern w:val="36"/>
          <w:sz w:val="24"/>
          <w:szCs w:val="24"/>
        </w:rPr>
      </w:pPr>
      <w:r w:rsidRPr="00BB2D76">
        <w:rPr>
          <w:rFonts w:ascii="Times New Roman" w:hAnsi="Times New Roman" w:cs="Times New Roman"/>
          <w:sz w:val="24"/>
          <w:szCs w:val="24"/>
        </w:rPr>
        <w:t>“</w:t>
      </w:r>
      <w:r w:rsidRPr="00BB2D76">
        <w:rPr>
          <w:rFonts w:ascii="Times New Roman" w:eastAsia="Times New Roman" w:hAnsi="Times New Roman" w:cs="Times New Roman"/>
          <w:kern w:val="36"/>
          <w:sz w:val="24"/>
          <w:szCs w:val="24"/>
        </w:rPr>
        <w:t>China's Three Gorges Dam, by the Numbers” available at:</w:t>
      </w:r>
      <w:r w:rsidRPr="00BB2D76">
        <w:rPr>
          <w:rFonts w:ascii="Times New Roman" w:hAnsi="Times New Roman" w:cs="Times New Roman"/>
          <w:sz w:val="24"/>
          <w:szCs w:val="24"/>
        </w:rPr>
        <w:t xml:space="preserve"> </w:t>
      </w:r>
      <w:r w:rsidRPr="00BB2D76">
        <w:rPr>
          <w:rFonts w:ascii="Times New Roman" w:eastAsia="Times New Roman" w:hAnsi="Times New Roman" w:cs="Times New Roman"/>
          <w:kern w:val="36"/>
          <w:sz w:val="24"/>
          <w:szCs w:val="24"/>
        </w:rPr>
        <w:t xml:space="preserve">http://news.nationalgeographic.com/news/2006/06/060609-gorges-dam_2.html-Accessed 27/09/2014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bCs/>
          <w:sz w:val="24"/>
          <w:szCs w:val="24"/>
        </w:rPr>
      </w:pPr>
      <w:r w:rsidRPr="00BB2D76">
        <w:rPr>
          <w:rFonts w:ascii="Times New Roman" w:hAnsi="Times New Roman" w:cs="Times New Roman"/>
          <w:sz w:val="24"/>
          <w:szCs w:val="24"/>
        </w:rPr>
        <w:t xml:space="preserve">David Hill, </w:t>
      </w:r>
      <w:r w:rsidRPr="00BB2D76">
        <w:rPr>
          <w:rFonts w:ascii="Times New Roman" w:hAnsi="Times New Roman" w:cs="Times New Roman"/>
          <w:bCs/>
          <w:sz w:val="24"/>
          <w:szCs w:val="24"/>
        </w:rPr>
        <w:t xml:space="preserve">“Leaked documents cast doubt on Ecuador's commitment to forest plan” (2014) Available at: </w:t>
      </w:r>
      <w:r w:rsidRPr="00BB2D76">
        <w:rPr>
          <w:rFonts w:ascii="Times New Roman" w:hAnsi="Times New Roman" w:cs="Times New Roman"/>
          <w:sz w:val="24"/>
          <w:szCs w:val="24"/>
        </w:rPr>
        <w:t>http://www.theguardian.com/environment/2014/jul/02/ecuador-power-plant-yasuni-national-park-documents</w:t>
      </w:r>
      <w:r w:rsidRPr="00BB2D76">
        <w:rPr>
          <w:rFonts w:ascii="Times New Roman" w:hAnsi="Times New Roman" w:cs="Times New Roman"/>
          <w:bCs/>
          <w:sz w:val="24"/>
          <w:szCs w:val="24"/>
        </w:rPr>
        <w:t xml:space="preserve">. Accessed 13/08/2014 </w:t>
      </w:r>
    </w:p>
    <w:p w:rsidR="00BB2D76" w:rsidRPr="00BB2D76" w:rsidRDefault="00BB2D76" w:rsidP="00BB2D76">
      <w:pPr>
        <w:pStyle w:val="FootnoteText"/>
        <w:spacing w:line="360" w:lineRule="auto"/>
        <w:rPr>
          <w:rFonts w:ascii="Times New Roman" w:hAnsi="Times New Roman" w:cs="Times New Roman"/>
          <w:sz w:val="24"/>
          <w:szCs w:val="24"/>
        </w:rPr>
      </w:pPr>
    </w:p>
    <w:p w:rsidR="00BC5C8B" w:rsidRPr="00BB2D76" w:rsidRDefault="00BC5C8B" w:rsidP="00BB2D76">
      <w:pPr>
        <w:pStyle w:val="FootnoteText"/>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Global Indigenous Preparatory Conference for the United Nations High Level Plenary Meeting of the General Assembly to be known as the World Conference on Indigenous Peoples10 – 12 June 2013, Alta. unsr.jamesanaya.org/docs/data/Alta-outcome-document-june-2013.pdf –Accessed 24/09/2014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Guidelines on Indigenous People’s Issues. </w:t>
      </w:r>
      <w:r w:rsidRPr="00BB2D76">
        <w:rPr>
          <w:rFonts w:ascii="Times New Roman" w:hAnsi="Times New Roman" w:cs="Times New Roman"/>
          <w:i/>
          <w:sz w:val="24"/>
          <w:szCs w:val="24"/>
        </w:rPr>
        <w:t>United Nations Development Group</w:t>
      </w:r>
      <w:r w:rsidRPr="00BB2D76">
        <w:rPr>
          <w:rFonts w:ascii="Times New Roman" w:hAnsi="Times New Roman" w:cs="Times New Roman"/>
          <w:sz w:val="24"/>
          <w:szCs w:val="24"/>
        </w:rPr>
        <w:t xml:space="preserve">.  2009. P.4. Available at: www.un.org/esa/socdev/unpfii/documents/UNDG_guidelines_EN.pdf. Accessed 2/09/2014;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Guy Adams, “Images of Amazon’s Tiananmen”, (2104) Available at: http://www.independent.co.uk/news/world/americas/images-of-amazons-tiananmen-1708990.html. Accessed 13/08/2014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Guy Adams, Peru Accused of Cover-Up after Indigenous Protest Ends in Death at Devil’s Bend”, “</w:t>
      </w:r>
      <w:r w:rsidRPr="00BB2D76">
        <w:rPr>
          <w:rFonts w:ascii="Times New Roman" w:hAnsi="Times New Roman" w:cs="Times New Roman"/>
          <w:i/>
          <w:sz w:val="24"/>
          <w:szCs w:val="24"/>
        </w:rPr>
        <w:t>The Independent</w:t>
      </w:r>
      <w:r w:rsidRPr="00BB2D76">
        <w:rPr>
          <w:rFonts w:ascii="Times New Roman" w:hAnsi="Times New Roman" w:cs="Times New Roman"/>
          <w:sz w:val="24"/>
          <w:szCs w:val="24"/>
        </w:rPr>
        <w:t xml:space="preserve">, 19 June 2009-Accessed 6/08/2014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 http://www.nytimes.com/2009/06/09/business/global/09shell.html-Accessed 26/08/210</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b/>
          <w:sz w:val="24"/>
          <w:szCs w:val="24"/>
        </w:rPr>
      </w:pPr>
      <w:r w:rsidRPr="00BB2D76">
        <w:rPr>
          <w:rFonts w:ascii="Times New Roman" w:hAnsi="Times New Roman" w:cs="Times New Roman"/>
          <w:sz w:val="24"/>
          <w:szCs w:val="24"/>
        </w:rPr>
        <w:t xml:space="preserve">Human Rights Watch (HRW), </w:t>
      </w:r>
      <w:r w:rsidRPr="00BB2D76">
        <w:rPr>
          <w:rFonts w:ascii="Times New Roman" w:hAnsi="Times New Roman" w:cs="Times New Roman"/>
          <w:i/>
          <w:iCs/>
          <w:sz w:val="24"/>
          <w:szCs w:val="24"/>
        </w:rPr>
        <w:t>The Price of Oil: Corporate Responsibility and Human Rights Violations in Nigeria's Oil Producing Communities</w:t>
      </w:r>
      <w:r w:rsidRPr="00BB2D76">
        <w:rPr>
          <w:rFonts w:ascii="Times New Roman" w:hAnsi="Times New Roman" w:cs="Times New Roman"/>
          <w:sz w:val="24"/>
          <w:szCs w:val="24"/>
        </w:rPr>
        <w:t xml:space="preserve">. London: (1999)  Available at: http://www.hrw.org/reports/1999/nigeria/ -Accessed 8/09/2014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Human Rights Watch </w:t>
      </w:r>
      <w:r w:rsidRPr="00BB2D76">
        <w:rPr>
          <w:rFonts w:ascii="Times New Roman" w:hAnsi="Times New Roman" w:cs="Times New Roman"/>
          <w:i/>
          <w:sz w:val="24"/>
          <w:szCs w:val="24"/>
        </w:rPr>
        <w:t>“Waiting Here for Death</w:t>
      </w:r>
      <w:r w:rsidRPr="00BB2D76">
        <w:rPr>
          <w:rFonts w:ascii="Times New Roman" w:hAnsi="Times New Roman" w:cs="Times New Roman"/>
          <w:sz w:val="24"/>
          <w:szCs w:val="24"/>
        </w:rPr>
        <w:t>” (12</w:t>
      </w:r>
      <w:r w:rsidRPr="00BB2D76">
        <w:rPr>
          <w:rFonts w:ascii="Times New Roman" w:hAnsi="Times New Roman" w:cs="Times New Roman"/>
          <w:sz w:val="24"/>
          <w:szCs w:val="24"/>
          <w:vertAlign w:val="superscript"/>
        </w:rPr>
        <w:t>th</w:t>
      </w:r>
      <w:r w:rsidRPr="00BB2D76">
        <w:rPr>
          <w:rFonts w:ascii="Times New Roman" w:hAnsi="Times New Roman" w:cs="Times New Roman"/>
          <w:sz w:val="24"/>
          <w:szCs w:val="24"/>
        </w:rPr>
        <w:t xml:space="preserve"> January 2012) Available at: http://www.hrw.org/fr/node/104305 -Accessed 27/09/2104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Human Rights Watch, “Ethiopia: Land, Water Grabs Devastate Communities, (2014) Available at: http://www.hrw.org/news/2014/02/18/ethiopia-land-water-grabs-devastate-communities-Accessed 25/09/2104   </w:t>
      </w:r>
    </w:p>
    <w:p w:rsidR="00BC5C8B" w:rsidRPr="00BB2D76" w:rsidRDefault="00BC5C8B" w:rsidP="00BB2D76">
      <w:pPr>
        <w:spacing w:line="360" w:lineRule="auto"/>
        <w:rPr>
          <w:rFonts w:ascii="Times New Roman" w:eastAsia="Times New Roman" w:hAnsi="Times New Roman" w:cs="Times New Roman"/>
          <w:sz w:val="24"/>
          <w:szCs w:val="24"/>
        </w:rPr>
      </w:pPr>
    </w:p>
    <w:p w:rsidR="00BC5C8B" w:rsidRPr="00BB2D76" w:rsidRDefault="00BC5C8B" w:rsidP="00BB2D76">
      <w:pPr>
        <w:spacing w:line="360" w:lineRule="auto"/>
        <w:rPr>
          <w:rFonts w:ascii="Times New Roman" w:eastAsia="Times New Roman" w:hAnsi="Times New Roman" w:cs="Times New Roman"/>
          <w:sz w:val="24"/>
          <w:szCs w:val="24"/>
        </w:rPr>
      </w:pPr>
      <w:r w:rsidRPr="00BB2D76">
        <w:rPr>
          <w:rFonts w:ascii="Times New Roman" w:eastAsia="Times New Roman" w:hAnsi="Times New Roman" w:cs="Times New Roman"/>
          <w:sz w:val="24"/>
          <w:szCs w:val="24"/>
        </w:rPr>
        <w:t xml:space="preserve">Human Rights Watch. (2007) ‘No One Has the Liberty to Refuse’, Available at:  www.hrw.org/reports/2007/tibet0607-Accessed 26/09/2014     </w:t>
      </w:r>
    </w:p>
    <w:p w:rsidR="00BB2D76" w:rsidRPr="00BB2D76" w:rsidRDefault="00BB2D76" w:rsidP="00BB2D76">
      <w:pPr>
        <w:spacing w:line="360" w:lineRule="auto"/>
        <w:rPr>
          <w:rFonts w:ascii="Times New Roman" w:hAnsi="Times New Roman" w:cs="Times New Roman"/>
          <w:bCs/>
          <w:sz w:val="24"/>
          <w:szCs w:val="24"/>
        </w:rPr>
      </w:pPr>
    </w:p>
    <w:p w:rsidR="00BB2D76" w:rsidRPr="00BB2D76" w:rsidRDefault="00BB2D76"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Indigenous People, Indigenous Voices: Factsheet, UNPFII. Available at: http://www.un.org/esa/socdev/ unpfii/documents/5session factsheet-Accessed 21/008/2014</w:t>
      </w:r>
    </w:p>
    <w:p w:rsidR="00BC5C8B" w:rsidRPr="00BB2D76" w:rsidRDefault="00BC5C8B" w:rsidP="00BB2D76">
      <w:pPr>
        <w:spacing w:line="360" w:lineRule="auto"/>
        <w:rPr>
          <w:rFonts w:ascii="Times New Roman" w:hAnsi="Times New Roman" w:cs="Times New Roman"/>
          <w:sz w:val="24"/>
          <w:szCs w:val="24"/>
        </w:rPr>
      </w:pPr>
    </w:p>
    <w:p w:rsidR="00BC5C8B" w:rsidRPr="00BB2D76" w:rsidRDefault="00BC5C8B" w:rsidP="00BB2D76">
      <w:pPr>
        <w:spacing w:line="360" w:lineRule="auto"/>
        <w:rPr>
          <w:rFonts w:ascii="Times New Roman" w:hAnsi="Times New Roman" w:cs="Times New Roman"/>
          <w:bCs/>
          <w:sz w:val="24"/>
          <w:szCs w:val="24"/>
        </w:rPr>
      </w:pPr>
      <w:r w:rsidRPr="00BB2D76">
        <w:rPr>
          <w:rFonts w:ascii="Times New Roman" w:hAnsi="Times New Roman" w:cs="Times New Roman"/>
          <w:sz w:val="24"/>
          <w:szCs w:val="24"/>
        </w:rPr>
        <w:t xml:space="preserve">Jason Stanley, </w:t>
      </w:r>
      <w:r w:rsidRPr="00BB2D76">
        <w:rPr>
          <w:rFonts w:ascii="Times New Roman" w:hAnsi="Times New Roman" w:cs="Times New Roman"/>
          <w:bCs/>
          <w:sz w:val="24"/>
          <w:szCs w:val="24"/>
        </w:rPr>
        <w:t xml:space="preserve"> “Development-Induced Displacement and Resettlement”, (2004) Available at: </w:t>
      </w:r>
      <w:hyperlink r:id="rId9" w:history="1">
        <w:r w:rsidRPr="00BB2D76">
          <w:rPr>
            <w:rStyle w:val="Hyperlink"/>
            <w:rFonts w:ascii="Times New Roman" w:hAnsi="Times New Roman" w:cs="Times New Roman"/>
            <w:bCs/>
            <w:color w:val="auto"/>
            <w:sz w:val="24"/>
            <w:szCs w:val="24"/>
            <w:u w:val="none"/>
          </w:rPr>
          <w:t>http://www.forcedmigration.org/research-resources/expert-guides-Accessed 9/09/21</w:t>
        </w:r>
      </w:hyperlink>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Laurent Lacroix, “Indigenous territoriality and political agenda in Bolivia (1970-2010)” Available at: hal.archives-ouvertes.fr/docs/00/73/84/79/PDF/Lacroix_2012-Indigenous_territoriality_political_agenda_in_Bolivia.pdf-Accessed 10/09/2014</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“Leaked World Bank lending policies 'environmentally disastrous ”, The Guardian, 25</w:t>
      </w:r>
      <w:r w:rsidRPr="00BB2D76">
        <w:rPr>
          <w:rFonts w:ascii="Times New Roman" w:hAnsi="Times New Roman" w:cs="Times New Roman"/>
          <w:sz w:val="24"/>
          <w:szCs w:val="24"/>
          <w:vertAlign w:val="superscript"/>
        </w:rPr>
        <w:t>/</w:t>
      </w:r>
      <w:r w:rsidRPr="00BB2D76">
        <w:rPr>
          <w:rFonts w:ascii="Times New Roman" w:hAnsi="Times New Roman" w:cs="Times New Roman"/>
          <w:sz w:val="24"/>
          <w:szCs w:val="24"/>
        </w:rPr>
        <w:t>08/2104  Available at: www.theguardian.com/environment/2014/jul/25/leaked-world-bank-lending-policies-environmentally-disastrous-Accessed 25/08/2014</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Lucy Claridge, “Landmark ruling provides major victory to Kenya’s indigenous Endorois”, </w:t>
      </w:r>
      <w:r w:rsidRPr="00BB2D76">
        <w:rPr>
          <w:rFonts w:ascii="Times New Roman" w:hAnsi="Times New Roman" w:cs="Times New Roman"/>
          <w:i/>
          <w:sz w:val="24"/>
          <w:szCs w:val="24"/>
        </w:rPr>
        <w:t xml:space="preserve">Minority Rights Group International, </w:t>
      </w:r>
      <w:r w:rsidRPr="00BB2D76">
        <w:rPr>
          <w:rFonts w:ascii="Times New Roman" w:hAnsi="Times New Roman" w:cs="Times New Roman"/>
          <w:sz w:val="24"/>
          <w:szCs w:val="24"/>
        </w:rPr>
        <w:t xml:space="preserve">Available at: </w:t>
      </w:r>
      <w:r w:rsidRPr="00BB2D76">
        <w:rPr>
          <w:rFonts w:ascii="Times New Roman" w:hAnsi="Times New Roman" w:cs="Times New Roman"/>
          <w:sz w:val="24"/>
          <w:szCs w:val="24"/>
          <w:shd w:val="clear" w:color="auto" w:fill="FFFFFF"/>
        </w:rPr>
        <w:t>www.minorityrights.org/download.php?id=1009</w:t>
      </w:r>
      <w:r w:rsidRPr="00BB2D76">
        <w:rPr>
          <w:rFonts w:ascii="Times New Roman" w:hAnsi="Times New Roman" w:cs="Times New Roman"/>
          <w:sz w:val="24"/>
          <w:szCs w:val="24"/>
        </w:rPr>
        <w:t xml:space="preserve"> Accessed 22/07/2014 </w:t>
      </w:r>
    </w:p>
    <w:p w:rsidR="00BC5C8B" w:rsidRPr="00BB2D76" w:rsidRDefault="00BC5C8B" w:rsidP="00BB2D76">
      <w:pPr>
        <w:pStyle w:val="NoSpacing"/>
        <w:spacing w:line="360" w:lineRule="auto"/>
        <w:rPr>
          <w:rFonts w:ascii="Times New Roman" w:hAnsi="Times New Roman" w:cs="Times New Roman"/>
          <w:bCs/>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bCs/>
          <w:sz w:val="24"/>
          <w:szCs w:val="24"/>
        </w:rPr>
        <w:t>Melvyn Goldstein et al, “</w:t>
      </w:r>
      <w:hyperlink r:id="rId10" w:history="1">
        <w:r w:rsidRPr="00BB2D76">
          <w:rPr>
            <w:rFonts w:ascii="Times New Roman" w:hAnsi="Times New Roman" w:cs="Times New Roman"/>
            <w:sz w:val="24"/>
            <w:szCs w:val="24"/>
          </w:rPr>
          <w:t>Traditional Nomadic Pastoralism and Ecological Conservation on Tibet's Northern Plateau</w:t>
        </w:r>
      </w:hyperlink>
      <w:r w:rsidRPr="00BB2D76">
        <w:rPr>
          <w:rFonts w:ascii="Times New Roman" w:hAnsi="Times New Roman" w:cs="Times New Roman"/>
          <w:sz w:val="24"/>
          <w:szCs w:val="24"/>
        </w:rPr>
        <w:t xml:space="preserve">” </w:t>
      </w:r>
      <w:r w:rsidRPr="00BB2D76">
        <w:rPr>
          <w:rFonts w:ascii="Times New Roman" w:hAnsi="Times New Roman" w:cs="Times New Roman"/>
          <w:bCs/>
          <w:sz w:val="24"/>
          <w:szCs w:val="24"/>
        </w:rPr>
        <w:t>(</w:t>
      </w:r>
      <w:r w:rsidRPr="00BB2D76">
        <w:rPr>
          <w:rFonts w:ascii="Times New Roman" w:hAnsi="Times New Roman" w:cs="Times New Roman"/>
          <w:sz w:val="24"/>
          <w:szCs w:val="24"/>
        </w:rPr>
        <w:t xml:space="preserve">1990).  </w:t>
      </w:r>
      <w:r w:rsidRPr="00BB2D76">
        <w:rPr>
          <w:rFonts w:ascii="Times New Roman" w:hAnsi="Times New Roman" w:cs="Times New Roman"/>
          <w:i/>
          <w:sz w:val="24"/>
          <w:szCs w:val="24"/>
        </w:rPr>
        <w:t>National Geographic Research. 6(2): 139-156</w:t>
      </w:r>
      <w:r w:rsidRPr="00BB2D76">
        <w:rPr>
          <w:rFonts w:ascii="Times New Roman" w:hAnsi="Times New Roman" w:cs="Times New Roman"/>
          <w:sz w:val="24"/>
          <w:szCs w:val="24"/>
        </w:rPr>
        <w:t>, Available at: www.case.edu/affil/tibet/booksAndPapers/pastoralism.html-Accessed 18/09/2014</w:t>
      </w:r>
    </w:p>
    <w:p w:rsidR="00BC5C8B" w:rsidRPr="00BB2D76" w:rsidRDefault="00BC5C8B" w:rsidP="00BB2D76">
      <w:pPr>
        <w:pStyle w:val="NoSpacing"/>
        <w:spacing w:line="360" w:lineRule="auto"/>
        <w:rPr>
          <w:rFonts w:ascii="Times New Roman" w:eastAsia="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iCs/>
          <w:sz w:val="24"/>
          <w:szCs w:val="24"/>
        </w:rPr>
      </w:pPr>
      <w:r w:rsidRPr="00BB2D76">
        <w:rPr>
          <w:rFonts w:ascii="Times New Roman" w:eastAsia="Times New Roman" w:hAnsi="Times New Roman" w:cs="Times New Roman"/>
          <w:sz w:val="24"/>
          <w:szCs w:val="24"/>
        </w:rPr>
        <w:t>Miller, Daniel J. 2000.</w:t>
      </w:r>
      <w:r w:rsidRPr="00BB2D76">
        <w:rPr>
          <w:rFonts w:ascii="Times New Roman" w:hAnsi="Times New Roman" w:cs="Times New Roman"/>
          <w:sz w:val="24"/>
          <w:szCs w:val="24"/>
        </w:rPr>
        <w:t xml:space="preserve"> “Nomadic Peoples”, </w:t>
      </w:r>
      <w:r w:rsidRPr="00BB2D76">
        <w:rPr>
          <w:rFonts w:ascii="Times New Roman" w:hAnsi="Times New Roman" w:cs="Times New Roman"/>
          <w:i/>
          <w:sz w:val="24"/>
          <w:szCs w:val="24"/>
        </w:rPr>
        <w:t>NS Volume 4, Issue 1</w:t>
      </w:r>
      <w:r w:rsidRPr="00BB2D76">
        <w:rPr>
          <w:rFonts w:ascii="Times New Roman" w:hAnsi="Times New Roman" w:cs="Times New Roman"/>
          <w:sz w:val="24"/>
          <w:szCs w:val="24"/>
        </w:rPr>
        <w:t xml:space="preserve"> Available at: cwru.edu/affil/tibet/booksAndPapers/plateauhard.htm-Accessed 17/09/2014; Isom, J. (2009) </w:t>
      </w:r>
      <w:r w:rsidRPr="00BB2D76">
        <w:rPr>
          <w:rFonts w:ascii="Times New Roman" w:hAnsi="Times New Roman" w:cs="Times New Roman"/>
          <w:color w:val="000000"/>
          <w:sz w:val="24"/>
          <w:szCs w:val="24"/>
        </w:rPr>
        <w:t>Tibet’s nomadic Pastoralists. Tradition, Transformation and Prospects,</w:t>
      </w:r>
      <w:r w:rsidRPr="00BB2D76">
        <w:rPr>
          <w:rFonts w:ascii="Times New Roman" w:hAnsi="Times New Roman" w:cs="Times New Roman"/>
          <w:iCs/>
          <w:sz w:val="24"/>
          <w:szCs w:val="24"/>
        </w:rPr>
        <w:t xml:space="preserve"> </w:t>
      </w:r>
      <w:r w:rsidRPr="00BB2D76">
        <w:rPr>
          <w:rFonts w:ascii="Times New Roman" w:hAnsi="Times New Roman" w:cs="Times New Roman"/>
          <w:i/>
          <w:iCs/>
          <w:sz w:val="24"/>
          <w:szCs w:val="24"/>
        </w:rPr>
        <w:t>Indigenous Affairs 3-4</w:t>
      </w:r>
      <w:r w:rsidRPr="00BB2D76">
        <w:rPr>
          <w:rFonts w:ascii="Times New Roman" w:hAnsi="Times New Roman" w:cs="Times New Roman"/>
          <w:iCs/>
          <w:sz w:val="24"/>
          <w:szCs w:val="24"/>
        </w:rPr>
        <w:t xml:space="preserve">, Available at: http://www.iwgia.org/publications/search-pubs?publication_id=3-Accessed 09/09/2014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“Minimising Development-Induced Displacement” Available at: </w:t>
      </w:r>
      <w:hyperlink r:id="rId11" w:history="1">
        <w:r w:rsidRPr="00BB2D76">
          <w:rPr>
            <w:rStyle w:val="Hyperlink"/>
            <w:rFonts w:ascii="Times New Roman" w:hAnsi="Times New Roman" w:cs="Times New Roman"/>
            <w:color w:val="auto"/>
            <w:sz w:val="24"/>
            <w:szCs w:val="24"/>
            <w:u w:val="none"/>
          </w:rPr>
          <w:t>www.migrationpolicy.org/article/minimizing-development-induced-displacement</w:t>
        </w:r>
      </w:hyperlink>
      <w:r w:rsidRPr="00BB2D76">
        <w:rPr>
          <w:rFonts w:ascii="Times New Roman" w:hAnsi="Times New Roman" w:cs="Times New Roman"/>
          <w:sz w:val="24"/>
          <w:szCs w:val="24"/>
        </w:rPr>
        <w:t xml:space="preserve">. Accessed 20/09/2014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eastAsia="Times New Roman" w:hAnsi="Times New Roman" w:cs="Times New Roman"/>
          <w:bCs/>
          <w:kern w:val="36"/>
          <w:sz w:val="24"/>
          <w:szCs w:val="24"/>
        </w:rPr>
      </w:pPr>
      <w:r w:rsidRPr="00BB2D76">
        <w:rPr>
          <w:rFonts w:ascii="Times New Roman" w:hAnsi="Times New Roman" w:cs="Times New Roman"/>
          <w:sz w:val="24"/>
          <w:szCs w:val="24"/>
        </w:rPr>
        <w:t>“</w:t>
      </w:r>
      <w:r w:rsidRPr="00BB2D76">
        <w:rPr>
          <w:rFonts w:ascii="Times New Roman" w:eastAsia="Times New Roman" w:hAnsi="Times New Roman" w:cs="Times New Roman"/>
          <w:bCs/>
          <w:kern w:val="36"/>
          <w:sz w:val="24"/>
          <w:szCs w:val="24"/>
        </w:rPr>
        <w:t>Rights and Responsibility: The Failure of Yasuní-ITT and What it Means for Ecuador’s Indigenous Peoples” Available at: http://amazonwatch.org/news/2013/0825-rights-and-responsibility-the-failure-of-yasuni. Accessed 24/08/2014</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Russel Barsh, “The World’s Indigenous Peoples”, (2010)  Paper submitted to Calvert Group by First Nations Development Institute/First Peoples Worldwide, at P.8. Available at: http://www.sfu.ca/~palys/Barsh-TheWorldsIndigenousPeoples.pdf-Accessed 11/09/2014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eastAsia="Times New Roman" w:hAnsi="Times New Roman" w:cs="Times New Roman"/>
          <w:kern w:val="36"/>
          <w:sz w:val="24"/>
          <w:szCs w:val="24"/>
        </w:rPr>
      </w:pPr>
      <w:r w:rsidRPr="00BB2D76">
        <w:rPr>
          <w:rFonts w:ascii="Times New Roman" w:hAnsi="Times New Roman" w:cs="Times New Roman"/>
          <w:sz w:val="24"/>
          <w:szCs w:val="24"/>
        </w:rPr>
        <w:t>“</w:t>
      </w:r>
      <w:r w:rsidRPr="00BB2D76">
        <w:rPr>
          <w:rFonts w:ascii="Times New Roman" w:eastAsia="Times New Roman" w:hAnsi="Times New Roman" w:cs="Times New Roman"/>
          <w:kern w:val="36"/>
          <w:sz w:val="24"/>
          <w:szCs w:val="24"/>
        </w:rPr>
        <w:t xml:space="preserve">Shell to Pay $15.5 Million to Settle Nigerian Case”, Available at: </w:t>
      </w:r>
    </w:p>
    <w:p w:rsidR="00BC5C8B" w:rsidRPr="00BB2D76" w:rsidRDefault="00BC5C8B" w:rsidP="00BB2D76">
      <w:pPr>
        <w:pStyle w:val="NoSpacing"/>
        <w:spacing w:line="360" w:lineRule="auto"/>
        <w:rPr>
          <w:rFonts w:ascii="Times New Roman" w:eastAsia="Times New Roman" w:hAnsi="Times New Roman" w:cs="Times New Roman"/>
          <w:sz w:val="24"/>
          <w:szCs w:val="24"/>
        </w:rPr>
      </w:pPr>
      <w:r w:rsidRPr="00BB2D76">
        <w:rPr>
          <w:rFonts w:ascii="Times New Roman" w:hAnsi="Times New Roman" w:cs="Times New Roman"/>
          <w:sz w:val="24"/>
          <w:szCs w:val="24"/>
        </w:rPr>
        <w:t>“</w:t>
      </w:r>
      <w:r w:rsidRPr="00BB2D76">
        <w:rPr>
          <w:rFonts w:ascii="Times New Roman" w:eastAsia="Times New Roman" w:hAnsi="Times New Roman" w:cs="Times New Roman"/>
          <w:sz w:val="24"/>
          <w:szCs w:val="24"/>
        </w:rPr>
        <w:t>Special Rapporteur on the rights of indigenous peoples”, Office of the High Commissioner for Human Rights, Available at: www.ohchr.org/en/issues/ipeoples/srindigenouspeoples/pages/sripeoplesindex.aspx-Accessed 28/07/2014</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Style w:val="Strong"/>
        </w:rPr>
      </w:pPr>
      <w:r w:rsidRPr="00BB2D76">
        <w:rPr>
          <w:rFonts w:ascii="Times New Roman" w:hAnsi="Times New Roman" w:cs="Times New Roman"/>
          <w:sz w:val="24"/>
          <w:szCs w:val="24"/>
        </w:rPr>
        <w:t>“The</w:t>
      </w:r>
      <w:r w:rsidRPr="00BB2D76">
        <w:rPr>
          <w:rStyle w:val="Strong"/>
          <w:rFonts w:ascii="Times New Roman" w:hAnsi="Times New Roman" w:cs="Times New Roman"/>
          <w:b w:val="0"/>
          <w:color w:val="666666"/>
          <w:sz w:val="24"/>
          <w:szCs w:val="24"/>
          <w:shd w:val="clear" w:color="auto" w:fill="FFFFFF"/>
        </w:rPr>
        <w:t xml:space="preserve"> </w:t>
      </w:r>
      <w:r w:rsidRPr="00BB2D76">
        <w:rPr>
          <w:rStyle w:val="Strong"/>
          <w:rFonts w:ascii="Times New Roman" w:hAnsi="Times New Roman" w:cs="Times New Roman"/>
          <w:b w:val="0"/>
          <w:sz w:val="24"/>
          <w:szCs w:val="24"/>
          <w:shd w:val="clear" w:color="auto" w:fill="FFFFFF"/>
        </w:rPr>
        <w:t xml:space="preserve">Constitution of the Republic of Ecuador” rights. Available at: </w:t>
      </w:r>
      <w:r w:rsidRPr="00BB2D76">
        <w:rPr>
          <w:rStyle w:val="Strong"/>
          <w:rFonts w:ascii="Times New Roman" w:hAnsi="Times New Roman" w:cs="Times New Roman"/>
          <w:b w:val="0"/>
          <w:bCs w:val="0"/>
          <w:sz w:val="24"/>
          <w:szCs w:val="24"/>
          <w:shd w:val="clear" w:color="auto" w:fill="FFFFFF"/>
        </w:rPr>
        <w:t>http://pdba.georgetown.edu/Constitutions/Ecuador/english08.html -Accessed 16/09/2014</w:t>
      </w:r>
      <w:r w:rsidRPr="00BB2D76">
        <w:rPr>
          <w:rStyle w:val="Strong"/>
          <w:rFonts w:ascii="Times New Roman" w:hAnsi="Times New Roman" w:cs="Times New Roman"/>
          <w:b w:val="0"/>
          <w:sz w:val="24"/>
          <w:szCs w:val="24"/>
          <w:shd w:val="clear" w:color="auto" w:fill="FFFFFF"/>
        </w:rPr>
        <w:t>.</w:t>
      </w:r>
    </w:p>
    <w:p w:rsidR="00BC5C8B" w:rsidRPr="00BB2D76" w:rsidRDefault="00BC5C8B" w:rsidP="00BB2D76">
      <w:pPr>
        <w:pStyle w:val="FootnoteText"/>
        <w:spacing w:line="360" w:lineRule="auto"/>
        <w:rPr>
          <w:rFonts w:ascii="Times New Roman" w:hAnsi="Times New Roman" w:cs="Times New Roman"/>
          <w:sz w:val="24"/>
          <w:szCs w:val="24"/>
        </w:rPr>
      </w:pPr>
    </w:p>
    <w:p w:rsidR="00BC5C8B" w:rsidRPr="00BB2D76" w:rsidRDefault="00BC5C8B" w:rsidP="00BB2D76">
      <w:pPr>
        <w:pStyle w:val="FootnoteText"/>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“The Indigenous People of Mindanao”, available at: http://www.philippines.hvu.nl/mindanao2.htm-Accessed 10/09/2014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w:t>
      </w:r>
      <w:r w:rsidRPr="00BB2D76">
        <w:rPr>
          <w:rFonts w:ascii="Times New Roman" w:hAnsi="Times New Roman" w:cs="Times New Roman"/>
          <w:i/>
          <w:sz w:val="24"/>
          <w:szCs w:val="24"/>
        </w:rPr>
        <w:t>The Indigenous World Yearbook</w:t>
      </w:r>
      <w:r w:rsidRPr="00BB2D76">
        <w:rPr>
          <w:rFonts w:ascii="Times New Roman" w:hAnsi="Times New Roman" w:cs="Times New Roman"/>
          <w:sz w:val="24"/>
          <w:szCs w:val="24"/>
        </w:rPr>
        <w:t xml:space="preserve">”, International Work Group for Indigenous Affairs, (2010) P. 13. Available at: http://www.iwgia.org/publications/search-pubs?publication_id=1-Accessed 03/09/2014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eastAsia="Times New Roman" w:hAnsi="Times New Roman" w:cs="Times New Roman"/>
          <w:bCs/>
          <w:kern w:val="36"/>
          <w:sz w:val="24"/>
          <w:szCs w:val="24"/>
        </w:rPr>
      </w:pPr>
      <w:r w:rsidRPr="00BB2D76">
        <w:rPr>
          <w:rFonts w:ascii="Times New Roman" w:hAnsi="Times New Roman" w:cs="Times New Roman"/>
          <w:sz w:val="24"/>
          <w:szCs w:val="24"/>
        </w:rPr>
        <w:t>Vedanta</w:t>
      </w:r>
      <w:r w:rsidRPr="00BB2D76">
        <w:rPr>
          <w:rFonts w:ascii="Times New Roman" w:eastAsia="Times New Roman" w:hAnsi="Times New Roman" w:cs="Times New Roman"/>
          <w:bCs/>
          <w:kern w:val="36"/>
          <w:sz w:val="24"/>
          <w:szCs w:val="24"/>
        </w:rPr>
        <w:t xml:space="preserve"> Resources lawsuit (re Dongria Kondh in Orissa). Available at: http://business-humanrights.org/en/vedanta-resources-lawsuit-re-dongria-kondh-in-orissa#c9349. Accessed 20/09/2014</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shd w:val="clear" w:color="auto" w:fill="FFFFFF"/>
        </w:rPr>
      </w:pPr>
      <w:r w:rsidRPr="00BB2D76">
        <w:rPr>
          <w:rFonts w:ascii="Times New Roman" w:hAnsi="Times New Roman" w:cs="Times New Roman"/>
          <w:sz w:val="24"/>
          <w:szCs w:val="24"/>
        </w:rPr>
        <w:t xml:space="preserve">What is Eminent Domain?” Available at: </w:t>
      </w:r>
      <w:r w:rsidRPr="00BB2D76">
        <w:rPr>
          <w:rFonts w:ascii="Times New Roman" w:hAnsi="Times New Roman" w:cs="Times New Roman"/>
          <w:sz w:val="24"/>
          <w:szCs w:val="24"/>
          <w:shd w:val="clear" w:color="auto" w:fill="FFFFFF"/>
        </w:rPr>
        <w:t>www.columbia.edu/cu/cssn/expansion/infosheets/</w:t>
      </w:r>
      <w:r w:rsidRPr="00BB2D76">
        <w:rPr>
          <w:rFonts w:ascii="Times New Roman" w:hAnsi="Times New Roman" w:cs="Times New Roman"/>
          <w:bCs/>
          <w:sz w:val="24"/>
          <w:szCs w:val="24"/>
          <w:shd w:val="clear" w:color="auto" w:fill="FFFFFF"/>
        </w:rPr>
        <w:t>eminentdomain</w:t>
      </w:r>
      <w:r w:rsidRPr="00BB2D76">
        <w:rPr>
          <w:rFonts w:ascii="Times New Roman" w:hAnsi="Times New Roman" w:cs="Times New Roman"/>
          <w:sz w:val="24"/>
          <w:szCs w:val="24"/>
          <w:shd w:val="clear" w:color="auto" w:fill="FFFFFF"/>
        </w:rPr>
        <w:t xml:space="preserve">.pdf-Accessed 26/09/2014 </w:t>
      </w:r>
    </w:p>
    <w:p w:rsidR="00BC5C8B" w:rsidRPr="00BB2D76" w:rsidRDefault="00BC5C8B" w:rsidP="00BB2D76">
      <w:pPr>
        <w:pStyle w:val="NoSpacing"/>
        <w:spacing w:line="360" w:lineRule="auto"/>
        <w:rPr>
          <w:rFonts w:ascii="Times New Roman" w:hAnsi="Times New Roman" w:cs="Times New Roman"/>
          <w:sz w:val="24"/>
          <w:szCs w:val="24"/>
        </w:rPr>
      </w:pPr>
    </w:p>
    <w:p w:rsidR="00BB2D76" w:rsidRPr="00BB2D76" w:rsidRDefault="00BB2D76" w:rsidP="00BB2D76">
      <w:pPr>
        <w:pStyle w:val="FootnoteText"/>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  “What is Forced Migration?” Available at: </w:t>
      </w:r>
      <w:hyperlink r:id="rId12" w:history="1">
        <w:r w:rsidRPr="00BB2D76">
          <w:rPr>
            <w:rStyle w:val="Hyperlink"/>
            <w:rFonts w:ascii="Times New Roman" w:hAnsi="Times New Roman" w:cs="Times New Roman"/>
            <w:color w:val="auto"/>
            <w:sz w:val="24"/>
            <w:szCs w:val="24"/>
            <w:u w:val="none"/>
          </w:rPr>
          <w:t>www.forcedmigration.org/about/whatisfm</w:t>
        </w:r>
      </w:hyperlink>
      <w:r w:rsidRPr="00BB2D76">
        <w:rPr>
          <w:rFonts w:ascii="Times New Roman" w:hAnsi="Times New Roman" w:cs="Times New Roman"/>
          <w:sz w:val="24"/>
          <w:szCs w:val="24"/>
        </w:rPr>
        <w:t>. Accessed 20/09/2014</w:t>
      </w:r>
    </w:p>
    <w:p w:rsidR="00BB2D76" w:rsidRPr="00BB2D76" w:rsidRDefault="00BB2D76"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World Bank’s influential operational manual, operational policy 4.10</w:t>
      </w:r>
      <w:r w:rsidRPr="00BB2D76">
        <w:rPr>
          <w:rFonts w:ascii="Times New Roman" w:hAnsi="Times New Roman" w:cs="Times New Roman"/>
          <w:color w:val="000000"/>
          <w:sz w:val="24"/>
          <w:szCs w:val="24"/>
          <w:shd w:val="clear" w:color="auto" w:fill="FFFFFF"/>
        </w:rPr>
        <w:t xml:space="preserve"> Available at: </w:t>
      </w:r>
      <w:r w:rsidRPr="00BB2D76">
        <w:rPr>
          <w:rFonts w:ascii="Times New Roman" w:hAnsi="Times New Roman" w:cs="Times New Roman"/>
          <w:sz w:val="24"/>
          <w:szCs w:val="24"/>
        </w:rPr>
        <w:t xml:space="preserve">web.worldbank.org/WBSITE/EXTERNAL/PROJECTS/EXTPOLICIES/EXTOPMANUAL/0, -Accessed 22/07/2014 </w:t>
      </w:r>
    </w:p>
    <w:p w:rsidR="00BC5C8B" w:rsidRPr="002506F4" w:rsidRDefault="00BC5C8B" w:rsidP="00BB2D76">
      <w:pPr>
        <w:spacing w:line="360" w:lineRule="auto"/>
        <w:rPr>
          <w:rFonts w:ascii="Times New Roman" w:hAnsi="Times New Roman" w:cs="Times New Roman"/>
          <w:b/>
          <w:sz w:val="24"/>
          <w:szCs w:val="24"/>
        </w:rPr>
      </w:pPr>
    </w:p>
    <w:p w:rsidR="00BC5C8B" w:rsidRDefault="00BC5C8B" w:rsidP="00BB2D76">
      <w:pPr>
        <w:pStyle w:val="Heading3"/>
        <w:spacing w:line="360" w:lineRule="auto"/>
      </w:pPr>
      <w:bookmarkStart w:id="52" w:name="_Toc399848384"/>
      <w:r>
        <w:t>Books</w:t>
      </w:r>
      <w:bookmarkEnd w:id="52"/>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Amartya Sen, “</w:t>
      </w:r>
      <w:r w:rsidRPr="00BB2D76">
        <w:rPr>
          <w:rFonts w:ascii="Times New Roman" w:hAnsi="Times New Roman" w:cs="Times New Roman"/>
          <w:i/>
          <w:sz w:val="24"/>
          <w:szCs w:val="24"/>
        </w:rPr>
        <w:t>Development as Freedom”</w:t>
      </w:r>
      <w:r w:rsidRPr="00BB2D76">
        <w:rPr>
          <w:rFonts w:ascii="Times New Roman" w:hAnsi="Times New Roman" w:cs="Times New Roman"/>
          <w:sz w:val="24"/>
          <w:szCs w:val="24"/>
        </w:rPr>
        <w:t xml:space="preserve"> (1999) Oxford University Press, Oxford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Anthony Clunies-Ross et al, </w:t>
      </w:r>
      <w:r w:rsidRPr="00BB2D76">
        <w:rPr>
          <w:rFonts w:ascii="Times New Roman" w:hAnsi="Times New Roman" w:cs="Times New Roman"/>
          <w:i/>
          <w:sz w:val="24"/>
          <w:szCs w:val="24"/>
        </w:rPr>
        <w:t>“Development Economics”,</w:t>
      </w:r>
      <w:r w:rsidRPr="00BB2D76">
        <w:rPr>
          <w:rFonts w:ascii="Times New Roman" w:hAnsi="Times New Roman" w:cs="Times New Roman"/>
          <w:sz w:val="24"/>
          <w:szCs w:val="24"/>
        </w:rPr>
        <w:t xml:space="preserve">  (2009) McGraw-Hill Higher Education</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Colin Crouch, “</w:t>
      </w:r>
      <w:r w:rsidRPr="00BB2D76">
        <w:rPr>
          <w:rFonts w:ascii="Times New Roman" w:hAnsi="Times New Roman" w:cs="Times New Roman"/>
          <w:i/>
          <w:sz w:val="24"/>
          <w:szCs w:val="24"/>
        </w:rPr>
        <w:t>The Strange Non-death of Neoliberalism”,</w:t>
      </w:r>
      <w:r w:rsidRPr="00BB2D76">
        <w:rPr>
          <w:rFonts w:ascii="Times New Roman" w:hAnsi="Times New Roman" w:cs="Times New Roman"/>
          <w:sz w:val="24"/>
          <w:szCs w:val="24"/>
        </w:rPr>
        <w:t xml:space="preserve"> (2011) Polity Press, Cambridge UK,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Francis Jennings, </w:t>
      </w:r>
      <w:r w:rsidRPr="00BB2D76">
        <w:rPr>
          <w:rFonts w:ascii="Times New Roman" w:hAnsi="Times New Roman" w:cs="Times New Roman"/>
          <w:i/>
          <w:sz w:val="24"/>
          <w:szCs w:val="24"/>
        </w:rPr>
        <w:t xml:space="preserve">The Founders of America, </w:t>
      </w:r>
      <w:r w:rsidRPr="00BB2D76">
        <w:rPr>
          <w:rFonts w:ascii="Times New Roman" w:hAnsi="Times New Roman" w:cs="Times New Roman"/>
          <w:sz w:val="24"/>
          <w:szCs w:val="24"/>
        </w:rPr>
        <w:t>Norton (1994)</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James Anaya, “</w:t>
      </w:r>
      <w:r w:rsidRPr="00BB2D76">
        <w:rPr>
          <w:rFonts w:ascii="Times New Roman" w:hAnsi="Times New Roman" w:cs="Times New Roman"/>
          <w:i/>
          <w:sz w:val="24"/>
          <w:szCs w:val="24"/>
        </w:rPr>
        <w:t>Indigenous Peoples in International Law”, (</w:t>
      </w:r>
      <w:r w:rsidRPr="00BB2D76">
        <w:rPr>
          <w:rFonts w:ascii="Times New Roman" w:hAnsi="Times New Roman" w:cs="Times New Roman"/>
          <w:sz w:val="24"/>
          <w:szCs w:val="24"/>
        </w:rPr>
        <w:t>2004) Oxford University Press</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eastAsia="Times New Roman" w:hAnsi="Times New Roman" w:cs="Times New Roman"/>
          <w:bCs/>
          <w:sz w:val="24"/>
          <w:szCs w:val="24"/>
        </w:rPr>
      </w:pPr>
      <w:r w:rsidRPr="00BB2D76">
        <w:rPr>
          <w:rFonts w:ascii="Times New Roman" w:hAnsi="Times New Roman" w:cs="Times New Roman"/>
          <w:sz w:val="24"/>
          <w:szCs w:val="24"/>
        </w:rPr>
        <w:t>James C. Scott, “</w:t>
      </w:r>
      <w:r w:rsidRPr="00BB2D76">
        <w:rPr>
          <w:rFonts w:ascii="Times New Roman" w:eastAsia="Times New Roman" w:hAnsi="Times New Roman" w:cs="Times New Roman"/>
          <w:sz w:val="24"/>
          <w:szCs w:val="24"/>
        </w:rPr>
        <w:t>Seeing Like a State: How Certain Schemes to Improve the Human Condition Have Failed</w:t>
      </w:r>
      <w:r w:rsidRPr="00BB2D76">
        <w:rPr>
          <w:rFonts w:ascii="Times New Roman" w:eastAsia="Times New Roman" w:hAnsi="Times New Roman" w:cs="Times New Roman"/>
          <w:bCs/>
          <w:sz w:val="24"/>
          <w:szCs w:val="24"/>
        </w:rPr>
        <w:t xml:space="preserve">”, (1998) Yale University Press.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Karen Engle, </w:t>
      </w:r>
      <w:r w:rsidRPr="00BB2D76">
        <w:rPr>
          <w:rFonts w:ascii="Times New Roman" w:hAnsi="Times New Roman" w:cs="Times New Roman"/>
          <w:i/>
          <w:iCs/>
          <w:sz w:val="24"/>
          <w:szCs w:val="24"/>
        </w:rPr>
        <w:t xml:space="preserve">The Elusive Promise </w:t>
      </w:r>
      <w:r w:rsidRPr="00BB2D76">
        <w:rPr>
          <w:rFonts w:ascii="Times New Roman" w:hAnsi="Times New Roman" w:cs="Times New Roman"/>
          <w:bCs/>
          <w:i/>
          <w:iCs/>
          <w:sz w:val="24"/>
          <w:szCs w:val="24"/>
        </w:rPr>
        <w:t>of indigenous</w:t>
      </w:r>
      <w:r w:rsidRPr="00BB2D76">
        <w:rPr>
          <w:rFonts w:ascii="Times New Roman" w:hAnsi="Times New Roman" w:cs="Times New Roman"/>
          <w:b/>
          <w:bCs/>
          <w:i/>
          <w:iCs/>
          <w:sz w:val="24"/>
          <w:szCs w:val="24"/>
        </w:rPr>
        <w:t xml:space="preserve"> </w:t>
      </w:r>
      <w:r w:rsidRPr="00BB2D76">
        <w:rPr>
          <w:rFonts w:ascii="Times New Roman" w:hAnsi="Times New Roman" w:cs="Times New Roman"/>
          <w:i/>
          <w:iCs/>
          <w:sz w:val="24"/>
          <w:szCs w:val="24"/>
        </w:rPr>
        <w:t xml:space="preserve">Development: Rights, Culture, and Strategy, </w:t>
      </w:r>
      <w:r w:rsidRPr="00BB2D76">
        <w:rPr>
          <w:rFonts w:ascii="Times New Roman" w:hAnsi="Times New Roman" w:cs="Times New Roman"/>
          <w:sz w:val="24"/>
          <w:szCs w:val="24"/>
        </w:rPr>
        <w:t xml:space="preserve">Duke University Press, (2010)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O.P. Goyal, “</w:t>
      </w:r>
      <w:r w:rsidRPr="00BB2D76">
        <w:rPr>
          <w:rFonts w:ascii="Times New Roman" w:hAnsi="Times New Roman" w:cs="Times New Roman"/>
          <w:i/>
          <w:sz w:val="24"/>
          <w:szCs w:val="24"/>
        </w:rPr>
        <w:t>Nomads at the Crossroads</w:t>
      </w:r>
      <w:r w:rsidRPr="00BB2D76">
        <w:rPr>
          <w:rFonts w:ascii="Times New Roman" w:hAnsi="Times New Roman" w:cs="Times New Roman"/>
          <w:sz w:val="24"/>
          <w:szCs w:val="24"/>
        </w:rPr>
        <w:t>”, (2005) Isha Books.</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Patrick Thornberry “ </w:t>
      </w:r>
      <w:r w:rsidRPr="00BB2D76">
        <w:rPr>
          <w:rFonts w:ascii="Times New Roman" w:hAnsi="Times New Roman" w:cs="Times New Roman"/>
          <w:i/>
          <w:sz w:val="24"/>
          <w:szCs w:val="24"/>
        </w:rPr>
        <w:t>Indigenous Peoples and Human Rights</w:t>
      </w:r>
      <w:r w:rsidRPr="00BB2D76">
        <w:rPr>
          <w:rFonts w:ascii="Times New Roman" w:hAnsi="Times New Roman" w:cs="Times New Roman"/>
          <w:sz w:val="24"/>
          <w:szCs w:val="24"/>
        </w:rPr>
        <w:t xml:space="preserve">” (2002)  Manchester University Press Pp.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 Paul Keal “</w:t>
      </w:r>
      <w:r w:rsidRPr="00BB2D76">
        <w:rPr>
          <w:rFonts w:ascii="Times New Roman" w:hAnsi="Times New Roman" w:cs="Times New Roman"/>
          <w:i/>
          <w:sz w:val="24"/>
          <w:szCs w:val="24"/>
        </w:rPr>
        <w:t>European Conquest and the Rights of Indigenous Peoples: The Moral Backwardness of International Society</w:t>
      </w:r>
      <w:r w:rsidRPr="00BB2D76">
        <w:rPr>
          <w:rFonts w:ascii="Times New Roman" w:hAnsi="Times New Roman" w:cs="Times New Roman"/>
          <w:sz w:val="24"/>
          <w:szCs w:val="24"/>
        </w:rPr>
        <w:t xml:space="preserve">” Cambridge University Press. (2003) </w:t>
      </w:r>
    </w:p>
    <w:p w:rsidR="00BC5C8B" w:rsidRPr="00BB2D76" w:rsidRDefault="00BC5C8B" w:rsidP="00BB2D76">
      <w:pPr>
        <w:pStyle w:val="FootnoteText"/>
        <w:spacing w:line="360" w:lineRule="auto"/>
        <w:rPr>
          <w:rFonts w:ascii="Times New Roman" w:hAnsi="Times New Roman" w:cs="Times New Roman"/>
          <w:sz w:val="24"/>
          <w:szCs w:val="24"/>
        </w:rPr>
      </w:pPr>
    </w:p>
    <w:p w:rsidR="00BC5C8B" w:rsidRPr="00BB2D76" w:rsidRDefault="00BC5C8B" w:rsidP="00BB2D76">
      <w:pPr>
        <w:pStyle w:val="FootnoteText"/>
        <w:spacing w:line="360" w:lineRule="auto"/>
        <w:rPr>
          <w:rFonts w:ascii="Times New Roman" w:hAnsi="Times New Roman" w:cs="Times New Roman"/>
          <w:sz w:val="24"/>
          <w:szCs w:val="24"/>
        </w:rPr>
      </w:pPr>
      <w:r w:rsidRPr="00BB2D76">
        <w:rPr>
          <w:rFonts w:ascii="Times New Roman" w:hAnsi="Times New Roman" w:cs="Times New Roman"/>
          <w:sz w:val="24"/>
          <w:szCs w:val="24"/>
        </w:rPr>
        <w:t>Richard Falk, “</w:t>
      </w:r>
      <w:r w:rsidRPr="00BB2D76">
        <w:rPr>
          <w:rFonts w:ascii="Times New Roman" w:hAnsi="Times New Roman" w:cs="Times New Roman"/>
          <w:i/>
          <w:sz w:val="24"/>
          <w:szCs w:val="24"/>
        </w:rPr>
        <w:t>Human Rights Horizons: Pursuit of Justice in a Globalising World</w:t>
      </w:r>
      <w:r w:rsidRPr="00BB2D76">
        <w:rPr>
          <w:rFonts w:ascii="Times New Roman" w:hAnsi="Times New Roman" w:cs="Times New Roman"/>
          <w:sz w:val="24"/>
          <w:szCs w:val="24"/>
        </w:rPr>
        <w:t xml:space="preserve"> “(2000) Routledge, New York. </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Richard Peet and Elaine Hartwick</w:t>
      </w:r>
      <w:r w:rsidRPr="00BB2D76">
        <w:rPr>
          <w:rFonts w:ascii="Times New Roman" w:hAnsi="Times New Roman" w:cs="Times New Roman"/>
          <w:i/>
          <w:sz w:val="24"/>
          <w:szCs w:val="24"/>
        </w:rPr>
        <w:t>, “Theories of Development</w:t>
      </w:r>
      <w:r w:rsidRPr="00BB2D76">
        <w:rPr>
          <w:rFonts w:ascii="Times New Roman" w:hAnsi="Times New Roman" w:cs="Times New Roman"/>
          <w:sz w:val="24"/>
          <w:szCs w:val="24"/>
        </w:rPr>
        <w:t>”, (2009) Guildford Press, New York</w:t>
      </w:r>
    </w:p>
    <w:p w:rsidR="00BC5C8B" w:rsidRPr="00BB2D76" w:rsidRDefault="00BC5C8B" w:rsidP="00BB2D76">
      <w:pPr>
        <w:pStyle w:val="NoSpacing"/>
        <w:spacing w:line="360" w:lineRule="auto"/>
        <w:rPr>
          <w:rFonts w:ascii="Times New Roman" w:hAnsi="Times New Roman" w:cs="Times New Roman"/>
          <w:i/>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i/>
          <w:sz w:val="24"/>
          <w:szCs w:val="24"/>
        </w:rPr>
        <w:t>See</w:t>
      </w:r>
      <w:r w:rsidRPr="00BB2D76">
        <w:rPr>
          <w:rFonts w:ascii="Times New Roman" w:hAnsi="Times New Roman" w:cs="Times New Roman"/>
          <w:sz w:val="24"/>
          <w:szCs w:val="24"/>
        </w:rPr>
        <w:t xml:space="preserve"> Michele Morel, </w:t>
      </w:r>
      <w:r w:rsidRPr="00BB2D76">
        <w:rPr>
          <w:rFonts w:ascii="Times New Roman" w:hAnsi="Times New Roman" w:cs="Times New Roman"/>
          <w:i/>
          <w:sz w:val="24"/>
          <w:szCs w:val="24"/>
        </w:rPr>
        <w:t>“The Right Not To Be Displaced in International Law”,</w:t>
      </w:r>
      <w:r w:rsidRPr="00BB2D76">
        <w:rPr>
          <w:rFonts w:ascii="Times New Roman" w:hAnsi="Times New Roman" w:cs="Times New Roman"/>
          <w:sz w:val="24"/>
          <w:szCs w:val="24"/>
        </w:rPr>
        <w:t xml:space="preserve"> (2014) Intersentia Ltd, at P. 122</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BB2D76">
      <w:pPr>
        <w:pStyle w:val="NoSpacing"/>
        <w:spacing w:line="360" w:lineRule="auto"/>
        <w:rPr>
          <w:rFonts w:ascii="Times New Roman" w:hAnsi="Times New Roman" w:cs="Times New Roman"/>
          <w:sz w:val="24"/>
          <w:szCs w:val="24"/>
        </w:rPr>
      </w:pPr>
      <w:r w:rsidRPr="00BB2D76">
        <w:rPr>
          <w:rFonts w:ascii="Times New Roman" w:hAnsi="Times New Roman" w:cs="Times New Roman"/>
          <w:sz w:val="24"/>
          <w:szCs w:val="24"/>
        </w:rPr>
        <w:t xml:space="preserve">Shivana Chaudhry , “Development-Induced Displacement and forced Evictions” in Walter Kälin, Rhodri C.Williams, Khalid Koser, and Andrew Solomon  (eds) </w:t>
      </w:r>
      <w:r w:rsidRPr="00BB2D76">
        <w:rPr>
          <w:rFonts w:ascii="Times New Roman" w:hAnsi="Times New Roman" w:cs="Times New Roman"/>
          <w:i/>
          <w:sz w:val="24"/>
          <w:szCs w:val="24"/>
        </w:rPr>
        <w:t xml:space="preserve">Incorporating the Guiding Principles on Internal Displacement into Domestic Law: Issues and challenges </w:t>
      </w:r>
      <w:r w:rsidRPr="00BB2D76">
        <w:rPr>
          <w:rFonts w:ascii="Times New Roman" w:hAnsi="Times New Roman" w:cs="Times New Roman"/>
          <w:sz w:val="24"/>
          <w:szCs w:val="24"/>
        </w:rPr>
        <w:t>(Brookings University, Bern)</w:t>
      </w:r>
    </w:p>
    <w:p w:rsidR="00BC5C8B" w:rsidRPr="00BB2D76" w:rsidRDefault="00BC5C8B" w:rsidP="00BB2D76">
      <w:pPr>
        <w:pStyle w:val="NoSpacing"/>
        <w:spacing w:line="360" w:lineRule="auto"/>
        <w:rPr>
          <w:rFonts w:ascii="Times New Roman" w:hAnsi="Times New Roman" w:cs="Times New Roman"/>
          <w:sz w:val="24"/>
          <w:szCs w:val="24"/>
        </w:rPr>
      </w:pPr>
    </w:p>
    <w:p w:rsidR="00BC5C8B" w:rsidRPr="00BB2D76" w:rsidRDefault="00BC5C8B" w:rsidP="009A6527">
      <w:pPr>
        <w:spacing w:line="360" w:lineRule="auto"/>
        <w:rPr>
          <w:rFonts w:ascii="Times New Roman" w:hAnsi="Times New Roman" w:cs="Times New Roman"/>
          <w:sz w:val="24"/>
          <w:szCs w:val="24"/>
        </w:rPr>
      </w:pPr>
      <w:r w:rsidRPr="00BB2D76">
        <w:rPr>
          <w:rFonts w:ascii="Times New Roman" w:hAnsi="Times New Roman" w:cs="Times New Roman"/>
          <w:sz w:val="24"/>
          <w:szCs w:val="24"/>
        </w:rPr>
        <w:t>“</w:t>
      </w:r>
      <w:r w:rsidRPr="00BB2D76">
        <w:rPr>
          <w:rFonts w:ascii="Times New Roman" w:hAnsi="Times New Roman" w:cs="Times New Roman"/>
          <w:i/>
          <w:sz w:val="24"/>
          <w:szCs w:val="24"/>
        </w:rPr>
        <w:t>The Development Imperative: Toward a People-Centred Approach</w:t>
      </w:r>
      <w:r w:rsidRPr="00BB2D76">
        <w:rPr>
          <w:rFonts w:ascii="Times New Roman" w:hAnsi="Times New Roman" w:cs="Times New Roman"/>
          <w:sz w:val="24"/>
          <w:szCs w:val="24"/>
        </w:rPr>
        <w:t xml:space="preserve">”, (2005) (eds) Eric Hershberg and Christy Thornton , Social Science Research Council   </w:t>
      </w:r>
    </w:p>
    <w:sectPr w:rsidR="00BC5C8B" w:rsidRPr="00BB2D76" w:rsidSect="00086561">
      <w:footerReference w:type="default" r:id="rId13"/>
      <w:pgSz w:w="11906" w:h="16838"/>
      <w:pgMar w:top="1440" w:right="1440" w:bottom="1440" w:left="2155" w:header="709" w:footer="709" w:gutter="0"/>
      <w:pgNumType w:start="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13C" w:rsidRDefault="00E3613C" w:rsidP="00A24708">
      <w:pPr>
        <w:spacing w:after="0" w:line="240" w:lineRule="auto"/>
      </w:pPr>
      <w:r>
        <w:separator/>
      </w:r>
    </w:p>
  </w:endnote>
  <w:endnote w:type="continuationSeparator" w:id="0">
    <w:p w:rsidR="00E3613C" w:rsidRDefault="00E3613C" w:rsidP="00A24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 w:name="Palatino-Roman">
    <w:altName w:val="MS Mincho"/>
    <w:panose1 w:val="00000000000000000000"/>
    <w:charset w:val="80"/>
    <w:family w:val="roman"/>
    <w:notTrueType/>
    <w:pitch w:val="default"/>
    <w:sig w:usb0="00000001" w:usb1="08070000" w:usb2="00000010" w:usb3="00000000" w:csb0="00020000" w:csb1="00000000"/>
  </w:font>
  <w:font w:name="HelveticaNeueLTCom-Roman">
    <w:altName w:val="MS Mincho"/>
    <w:panose1 w:val="00000000000000000000"/>
    <w:charset w:val="80"/>
    <w:family w:val="auto"/>
    <w:notTrueType/>
    <w:pitch w:val="default"/>
    <w:sig w:usb0="00000000" w:usb1="08070000" w:usb2="00000010" w:usb3="00000000" w:csb0="00020000" w:csb1="00000000"/>
  </w:font>
  <w:font w:name="HelveticaNeueLTCom-I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22523"/>
      <w:docPartObj>
        <w:docPartGallery w:val="Page Numbers (Bottom of Page)"/>
        <w:docPartUnique/>
      </w:docPartObj>
    </w:sdtPr>
    <w:sdtContent>
      <w:p w:rsidR="00111E65" w:rsidRDefault="007D698A">
        <w:pPr>
          <w:pStyle w:val="Footer"/>
          <w:jc w:val="center"/>
        </w:pPr>
        <w:fldSimple w:instr=" PAGE   \* MERGEFORMAT ">
          <w:r w:rsidR="00CE5BC1">
            <w:rPr>
              <w:noProof/>
            </w:rPr>
            <w:t>2</w:t>
          </w:r>
        </w:fldSimple>
      </w:p>
    </w:sdtContent>
  </w:sdt>
  <w:p w:rsidR="00111E65" w:rsidRDefault="00111E6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13C" w:rsidRDefault="00E3613C" w:rsidP="00A24708">
      <w:pPr>
        <w:spacing w:after="0" w:line="240" w:lineRule="auto"/>
      </w:pPr>
      <w:r>
        <w:separator/>
      </w:r>
    </w:p>
  </w:footnote>
  <w:footnote w:type="continuationSeparator" w:id="0">
    <w:p w:rsidR="00E3613C" w:rsidRDefault="00E3613C" w:rsidP="00A24708">
      <w:pPr>
        <w:spacing w:after="0" w:line="240" w:lineRule="auto"/>
      </w:pPr>
      <w:r>
        <w:continuationSeparator/>
      </w:r>
    </w:p>
  </w:footnote>
  <w:footnote w:id="1">
    <w:p w:rsidR="00111E65" w:rsidRPr="002F1C58" w:rsidRDefault="00111E65" w:rsidP="00B245DF">
      <w:pPr>
        <w:pStyle w:val="NoSpacing"/>
        <w:rPr>
          <w:rFonts w:ascii="Times New Roman" w:hAnsi="Times New Roman" w:cs="Times New Roman"/>
          <w:b/>
          <w:sz w:val="24"/>
          <w:szCs w:val="24"/>
          <w:vertAlign w:val="subscript"/>
        </w:rPr>
      </w:pPr>
      <w:r w:rsidRPr="002F1C58">
        <w:rPr>
          <w:rStyle w:val="FootnoteReference"/>
          <w:rFonts w:ascii="Times New Roman" w:hAnsi="Times New Roman" w:cs="Times New Roman"/>
          <w:sz w:val="24"/>
          <w:szCs w:val="24"/>
          <w:vertAlign w:val="subscript"/>
        </w:rPr>
        <w:footnoteRef/>
      </w:r>
      <w:r w:rsidRPr="002F1C58">
        <w:rPr>
          <w:rFonts w:ascii="Times New Roman" w:hAnsi="Times New Roman" w:cs="Times New Roman"/>
          <w:sz w:val="24"/>
          <w:szCs w:val="24"/>
          <w:vertAlign w:val="subscript"/>
        </w:rPr>
        <w:t xml:space="preserve"> See generally, Michael Holley, “Recognising the Rights of Indigenous People to their Traditional Lands: A Case Study of an Internally-Displaced Community in Guatemala.” (1997) 15 </w:t>
      </w:r>
      <w:r w:rsidRPr="002F1C58">
        <w:rPr>
          <w:rFonts w:ascii="Times New Roman" w:hAnsi="Times New Roman" w:cs="Times New Roman"/>
          <w:i/>
          <w:sz w:val="24"/>
          <w:szCs w:val="24"/>
          <w:vertAlign w:val="subscript"/>
        </w:rPr>
        <w:t>Berkeley Journal of International Law</w:t>
      </w:r>
      <w:r w:rsidRPr="002F1C58">
        <w:rPr>
          <w:rFonts w:ascii="Times New Roman" w:hAnsi="Times New Roman" w:cs="Times New Roman"/>
          <w:sz w:val="24"/>
          <w:szCs w:val="24"/>
          <w:vertAlign w:val="subscript"/>
        </w:rPr>
        <w:t>, 119; Anthony Oliver-Smith, “</w:t>
      </w:r>
      <w:r w:rsidRPr="002F1C58">
        <w:rPr>
          <w:rFonts w:ascii="Times New Roman" w:hAnsi="Times New Roman" w:cs="Times New Roman"/>
          <w:bCs/>
          <w:sz w:val="24"/>
          <w:szCs w:val="24"/>
          <w:vertAlign w:val="subscript"/>
        </w:rPr>
        <w:t>DISPLACEMENT, RESISTANCE AND THE CRITIQUE OF DEVELOPMENT: FROM THE GRASS ROOTS TO THE GLOBAL</w:t>
      </w:r>
      <w:r w:rsidRPr="002F1C58">
        <w:rPr>
          <w:rFonts w:ascii="Times New Roman" w:hAnsi="Times New Roman" w:cs="Times New Roman"/>
          <w:sz w:val="24"/>
          <w:szCs w:val="24"/>
          <w:vertAlign w:val="subscript"/>
        </w:rPr>
        <w:t xml:space="preserve">” (2001) </w:t>
      </w:r>
      <w:r w:rsidRPr="002F1C58">
        <w:rPr>
          <w:rFonts w:ascii="Times New Roman" w:hAnsi="Times New Roman" w:cs="Times New Roman"/>
          <w:bCs/>
          <w:i/>
          <w:sz w:val="24"/>
          <w:szCs w:val="24"/>
          <w:vertAlign w:val="subscript"/>
        </w:rPr>
        <w:t>Final Report Prepared for ESCOR R7644 and the Research Programme on Development Induced Displacement and Resettlement</w:t>
      </w:r>
      <w:r w:rsidRPr="002F1C58">
        <w:rPr>
          <w:rFonts w:ascii="Times New Roman" w:hAnsi="Times New Roman" w:cs="Times New Roman"/>
          <w:bCs/>
          <w:sz w:val="24"/>
          <w:szCs w:val="24"/>
          <w:vertAlign w:val="subscript"/>
        </w:rPr>
        <w:t xml:space="preserve">, Refugee Studies Centre University of Oxford; </w:t>
      </w:r>
      <w:r w:rsidRPr="002F1C58">
        <w:rPr>
          <w:rFonts w:ascii="Times New Roman" w:hAnsi="Times New Roman" w:cs="Times New Roman"/>
          <w:sz w:val="24"/>
          <w:szCs w:val="24"/>
          <w:vertAlign w:val="subscript"/>
        </w:rPr>
        <w:t xml:space="preserve">Jérémie Gilbert, “Historical Indigenous Peoples' Land Claims: A Comparative and International Approach to the Common Law Doctrine on Indigenous Title”, (2007) </w:t>
      </w:r>
      <w:r w:rsidRPr="002F1C58">
        <w:rPr>
          <w:rFonts w:ascii="Times New Roman" w:hAnsi="Times New Roman" w:cs="Times New Roman"/>
          <w:i/>
          <w:sz w:val="24"/>
          <w:szCs w:val="24"/>
          <w:vertAlign w:val="subscript"/>
        </w:rPr>
        <w:t>The International and Comparative Law Quarterly, Vol. 56, No. 3 (Jul., 2007), pp. 583-611</w:t>
      </w:r>
      <w:r w:rsidRPr="002F1C58">
        <w:rPr>
          <w:rFonts w:ascii="Times New Roman" w:hAnsi="Times New Roman" w:cs="Times New Roman"/>
          <w:sz w:val="24"/>
          <w:szCs w:val="24"/>
          <w:vertAlign w:val="subscript"/>
        </w:rPr>
        <w:t xml:space="preserve">; Jason Stanley, </w:t>
      </w:r>
      <w:r w:rsidRPr="002F1C58">
        <w:rPr>
          <w:rFonts w:ascii="Times New Roman" w:hAnsi="Times New Roman" w:cs="Times New Roman"/>
          <w:bCs/>
          <w:sz w:val="24"/>
          <w:szCs w:val="24"/>
          <w:vertAlign w:val="subscript"/>
        </w:rPr>
        <w:t xml:space="preserve"> “Development-Induced Displacement and Resettlement”, (2004) Available at: http://www.forcedmigration.org/research-resources/expert-guides-Accessed 9/09/21; </w:t>
      </w:r>
      <w:r w:rsidRPr="002F1C58">
        <w:rPr>
          <w:rFonts w:ascii="Times New Roman" w:hAnsi="Times New Roman" w:cs="Times New Roman"/>
          <w:sz w:val="24"/>
          <w:szCs w:val="24"/>
          <w:vertAlign w:val="subscript"/>
        </w:rPr>
        <w:t xml:space="preserve">Ricarda Roos, “Development Genocide and Ethnocide: Does International Law Curtail Development-Induced Displacement through the Prohibition of Genocide and Ethnocide?'”,  (1999) </w:t>
      </w:r>
      <w:r w:rsidRPr="002F1C58">
        <w:rPr>
          <w:rFonts w:ascii="Times New Roman" w:hAnsi="Times New Roman" w:cs="Times New Roman"/>
          <w:i/>
          <w:iCs/>
          <w:sz w:val="24"/>
          <w:szCs w:val="24"/>
          <w:vertAlign w:val="subscript"/>
        </w:rPr>
        <w:t>Human Rights Brief</w:t>
      </w:r>
      <w:r w:rsidRPr="002F1C58">
        <w:rPr>
          <w:rFonts w:ascii="Times New Roman" w:hAnsi="Times New Roman" w:cs="Times New Roman"/>
          <w:i/>
          <w:sz w:val="24"/>
          <w:szCs w:val="24"/>
          <w:vertAlign w:val="subscript"/>
        </w:rPr>
        <w:t xml:space="preserve">, Vol. 9(3):14-21, </w:t>
      </w:r>
      <w:r w:rsidRPr="002F1C58">
        <w:rPr>
          <w:rFonts w:ascii="Times New Roman" w:hAnsi="Times New Roman" w:cs="Times New Roman"/>
          <w:sz w:val="24"/>
          <w:szCs w:val="24"/>
          <w:vertAlign w:val="subscript"/>
        </w:rPr>
        <w:t xml:space="preserve">; Human Rights Watch (HRW), </w:t>
      </w:r>
      <w:r w:rsidRPr="002F1C58">
        <w:rPr>
          <w:rFonts w:ascii="Times New Roman" w:hAnsi="Times New Roman" w:cs="Times New Roman"/>
          <w:i/>
          <w:iCs/>
          <w:sz w:val="24"/>
          <w:szCs w:val="24"/>
          <w:vertAlign w:val="subscript"/>
        </w:rPr>
        <w:t>The Price of Oil: Corporate Responsibility and Human Rights Violations in Nigeria's Oil Producing Communities</w:t>
      </w:r>
      <w:r w:rsidRPr="002F1C58">
        <w:rPr>
          <w:rFonts w:ascii="Times New Roman" w:hAnsi="Times New Roman" w:cs="Times New Roman"/>
          <w:sz w:val="24"/>
          <w:szCs w:val="24"/>
          <w:vertAlign w:val="subscript"/>
        </w:rPr>
        <w:t xml:space="preserve">. London: (1999)  Available at: http://www.hrw.org/reports/1999/nigeria/ -Accessed 8/09/2014 </w:t>
      </w:r>
    </w:p>
  </w:footnote>
  <w:footnote w:id="2">
    <w:p w:rsidR="00111E65" w:rsidRPr="002F1C58" w:rsidRDefault="00111E65" w:rsidP="001424F3">
      <w:pPr>
        <w:pStyle w:val="NoSpacing"/>
        <w:rPr>
          <w:rFonts w:ascii="Times New Roman" w:hAnsi="Times New Roman" w:cs="Times New Roman"/>
          <w:sz w:val="24"/>
          <w:szCs w:val="24"/>
          <w:vertAlign w:val="subscript"/>
        </w:rPr>
      </w:pPr>
      <w:r w:rsidRPr="002F1C58">
        <w:rPr>
          <w:rStyle w:val="FootnoteReference"/>
          <w:rFonts w:ascii="Times New Roman" w:hAnsi="Times New Roman" w:cs="Times New Roman"/>
          <w:sz w:val="24"/>
          <w:szCs w:val="24"/>
          <w:vertAlign w:val="subscript"/>
        </w:rPr>
        <w:footnoteRef/>
      </w:r>
      <w:r w:rsidRPr="002F1C58">
        <w:rPr>
          <w:rFonts w:ascii="Times New Roman" w:hAnsi="Times New Roman" w:cs="Times New Roman"/>
          <w:sz w:val="24"/>
          <w:szCs w:val="24"/>
          <w:vertAlign w:val="subscript"/>
        </w:rPr>
        <w:t xml:space="preserve"> For example, “Brazilian officials warn of ‘imminent’ death of uncontacted Indians” </w:t>
      </w:r>
      <w:r w:rsidRPr="002F1C58">
        <w:rPr>
          <w:rStyle w:val="apple-converted-space"/>
          <w:rFonts w:ascii="Times New Roman" w:hAnsi="Times New Roman" w:cs="Times New Roman"/>
          <w:bCs/>
          <w:spacing w:val="-2"/>
          <w:sz w:val="24"/>
          <w:szCs w:val="24"/>
          <w:vertAlign w:val="subscript"/>
        </w:rPr>
        <w:t xml:space="preserve">Available at: </w:t>
      </w:r>
      <w:r w:rsidRPr="002F1C58">
        <w:rPr>
          <w:rFonts w:ascii="Times New Roman" w:hAnsi="Times New Roman" w:cs="Times New Roman"/>
          <w:sz w:val="24"/>
          <w:szCs w:val="24"/>
          <w:vertAlign w:val="subscript"/>
        </w:rPr>
        <w:t>http://www.survivalinternational.org/news/10308- Accessed 21/07/2104; see also the “Amazon Tiananmen” where indigenous protests in Peru against the granting of oil, gas, and gold concessions to transnational companies resulted in the killing of 32 people. Guy Adams, Peru Accused of Cover-Up after Indigenous Protest Ends in Death at Devil’s Bend”, “</w:t>
      </w:r>
      <w:r w:rsidRPr="002F1C58">
        <w:rPr>
          <w:rFonts w:ascii="Times New Roman" w:hAnsi="Times New Roman" w:cs="Times New Roman"/>
          <w:i/>
          <w:sz w:val="24"/>
          <w:szCs w:val="24"/>
          <w:vertAlign w:val="subscript"/>
        </w:rPr>
        <w:t>The Independent</w:t>
      </w:r>
      <w:r w:rsidRPr="002F1C58">
        <w:rPr>
          <w:rFonts w:ascii="Times New Roman" w:hAnsi="Times New Roman" w:cs="Times New Roman"/>
          <w:sz w:val="24"/>
          <w:szCs w:val="24"/>
          <w:vertAlign w:val="subscript"/>
        </w:rPr>
        <w:t xml:space="preserve">, 19 June 2009-accessed 6th/08/2014 </w:t>
      </w:r>
    </w:p>
  </w:footnote>
  <w:footnote w:id="3">
    <w:p w:rsidR="00111E65" w:rsidRPr="002F1C58" w:rsidRDefault="00111E65" w:rsidP="001424F3">
      <w:pPr>
        <w:pStyle w:val="NoSpacing"/>
        <w:rPr>
          <w:rFonts w:ascii="Times New Roman" w:hAnsi="Times New Roman" w:cs="Times New Roman"/>
          <w:sz w:val="24"/>
          <w:szCs w:val="24"/>
          <w:vertAlign w:val="subscript"/>
        </w:rPr>
      </w:pPr>
      <w:r w:rsidRPr="002F1C58">
        <w:rPr>
          <w:rStyle w:val="FootnoteReference"/>
          <w:rFonts w:ascii="Times New Roman" w:hAnsi="Times New Roman" w:cs="Times New Roman"/>
          <w:sz w:val="24"/>
          <w:szCs w:val="24"/>
          <w:vertAlign w:val="subscript"/>
        </w:rPr>
        <w:footnoteRef/>
      </w:r>
      <w:r w:rsidRPr="002F1C58">
        <w:rPr>
          <w:rFonts w:ascii="Times New Roman" w:hAnsi="Times New Roman" w:cs="Times New Roman"/>
          <w:sz w:val="24"/>
          <w:szCs w:val="24"/>
          <w:vertAlign w:val="subscript"/>
        </w:rPr>
        <w:t xml:space="preserve"> See, e.g., United Nations, General Assembly, </w:t>
      </w:r>
      <w:r w:rsidRPr="002F1C58">
        <w:rPr>
          <w:rFonts w:ascii="Times New Roman" w:hAnsi="Times New Roman" w:cs="Times New Roman"/>
          <w:i/>
          <w:sz w:val="24"/>
          <w:szCs w:val="24"/>
          <w:vertAlign w:val="subscript"/>
        </w:rPr>
        <w:t xml:space="preserve">Extractive industries operating within or near indigenous territories: Report of the Special Rapporteur on the rights of indigenous peoples, </w:t>
      </w:r>
      <w:r w:rsidRPr="002F1C58">
        <w:rPr>
          <w:rFonts w:ascii="Times New Roman" w:hAnsi="Times New Roman" w:cs="Times New Roman"/>
          <w:sz w:val="24"/>
          <w:szCs w:val="24"/>
          <w:vertAlign w:val="subscript"/>
        </w:rPr>
        <w:t xml:space="preserve">James Anaya. A/HRC/18/35 (11th July 2011) </w:t>
      </w:r>
    </w:p>
  </w:footnote>
  <w:footnote w:id="4">
    <w:p w:rsidR="00111E65" w:rsidRPr="002F1C58" w:rsidRDefault="00111E65" w:rsidP="001424F3">
      <w:pPr>
        <w:pStyle w:val="NoSpacing"/>
        <w:rPr>
          <w:rFonts w:ascii="Times New Roman" w:hAnsi="Times New Roman" w:cs="Times New Roman"/>
          <w:sz w:val="24"/>
          <w:szCs w:val="24"/>
          <w:vertAlign w:val="subscript"/>
        </w:rPr>
      </w:pPr>
      <w:r w:rsidRPr="002F1C58">
        <w:rPr>
          <w:rStyle w:val="FootnoteReference"/>
          <w:rFonts w:ascii="Times New Roman" w:hAnsi="Times New Roman" w:cs="Times New Roman"/>
          <w:sz w:val="24"/>
          <w:szCs w:val="24"/>
          <w:vertAlign w:val="subscript"/>
        </w:rPr>
        <w:footnoteRef/>
      </w:r>
      <w:r w:rsidRPr="002F1C58">
        <w:rPr>
          <w:rFonts w:ascii="Times New Roman" w:hAnsi="Times New Roman" w:cs="Times New Roman"/>
          <w:b/>
          <w:i/>
          <w:sz w:val="24"/>
          <w:szCs w:val="24"/>
          <w:vertAlign w:val="subscript"/>
        </w:rPr>
        <w:t xml:space="preserve">  </w:t>
      </w:r>
      <w:r w:rsidRPr="002F1C58">
        <w:rPr>
          <w:rFonts w:ascii="Times New Roman" w:hAnsi="Times New Roman" w:cs="Times New Roman"/>
          <w:sz w:val="24"/>
          <w:szCs w:val="24"/>
          <w:shd w:val="clear" w:color="auto" w:fill="FFFFFF"/>
          <w:vertAlign w:val="subscript"/>
        </w:rPr>
        <w:t xml:space="preserve">Cathal Doyle and Jérémie Gilbert “Indigenous Peoples and Globalization: From Development Aggression’ to Self-Determined Development’ </w:t>
      </w:r>
      <w:r w:rsidRPr="002F1C58">
        <w:rPr>
          <w:rFonts w:ascii="Times New Roman" w:hAnsi="Times New Roman" w:cs="Times New Roman"/>
          <w:i/>
          <w:sz w:val="24"/>
          <w:szCs w:val="24"/>
          <w:shd w:val="clear" w:color="auto" w:fill="FFFFFF"/>
          <w:vertAlign w:val="subscript"/>
        </w:rPr>
        <w:t xml:space="preserve">European Yearbook of Minority Issues </w:t>
      </w:r>
      <w:r w:rsidRPr="002F1C58">
        <w:rPr>
          <w:rFonts w:ascii="Times New Roman" w:hAnsi="Times New Roman" w:cs="Times New Roman"/>
          <w:sz w:val="24"/>
          <w:szCs w:val="24"/>
          <w:shd w:val="clear" w:color="auto" w:fill="FFFFFF"/>
          <w:vertAlign w:val="subscript"/>
        </w:rPr>
        <w:t xml:space="preserve">Vol 7, 2008/9, </w:t>
      </w:r>
      <w:r w:rsidRPr="002F1C58">
        <w:rPr>
          <w:rFonts w:ascii="Times New Roman" w:hAnsi="Times New Roman" w:cs="Times New Roman"/>
          <w:sz w:val="24"/>
          <w:szCs w:val="24"/>
          <w:vertAlign w:val="subscript"/>
        </w:rPr>
        <w:t>at p.221</w:t>
      </w:r>
    </w:p>
  </w:footnote>
  <w:footnote w:id="5">
    <w:p w:rsidR="00111E65" w:rsidRPr="002F1C58" w:rsidRDefault="00111E65" w:rsidP="00D25AF0">
      <w:pPr>
        <w:pStyle w:val="NoSpacing"/>
        <w:rPr>
          <w:rFonts w:ascii="Times New Roman" w:hAnsi="Times New Roman" w:cs="Times New Roman"/>
          <w:sz w:val="24"/>
          <w:szCs w:val="24"/>
          <w:vertAlign w:val="subscript"/>
        </w:rPr>
      </w:pPr>
      <w:r w:rsidRPr="002F1C58">
        <w:rPr>
          <w:rStyle w:val="FootnoteReference"/>
          <w:rFonts w:ascii="Times New Roman" w:hAnsi="Times New Roman" w:cs="Times New Roman"/>
          <w:sz w:val="24"/>
          <w:szCs w:val="24"/>
          <w:vertAlign w:val="subscript"/>
        </w:rPr>
        <w:footnoteRef/>
      </w:r>
      <w:r w:rsidRPr="002F1C58">
        <w:rPr>
          <w:rFonts w:ascii="Times New Roman" w:hAnsi="Times New Roman" w:cs="Times New Roman"/>
          <w:sz w:val="24"/>
          <w:szCs w:val="24"/>
          <w:vertAlign w:val="subscript"/>
        </w:rPr>
        <w:t xml:space="preserve"> </w:t>
      </w:r>
      <w:r w:rsidRPr="002F1C58">
        <w:rPr>
          <w:rFonts w:ascii="Times New Roman" w:hAnsi="Times New Roman" w:cs="Times New Roman"/>
          <w:i/>
          <w:sz w:val="24"/>
          <w:szCs w:val="24"/>
          <w:vertAlign w:val="subscript"/>
        </w:rPr>
        <w:t>Supra</w:t>
      </w:r>
      <w:r w:rsidRPr="002F1C58">
        <w:rPr>
          <w:rFonts w:ascii="Times New Roman" w:hAnsi="Times New Roman" w:cs="Times New Roman"/>
          <w:sz w:val="24"/>
          <w:szCs w:val="24"/>
          <w:vertAlign w:val="subscript"/>
        </w:rPr>
        <w:t xml:space="preserve"> n. 3 Para. 34 at P. 10 </w:t>
      </w:r>
    </w:p>
  </w:footnote>
  <w:footnote w:id="6">
    <w:p w:rsidR="00111E65" w:rsidRPr="002F1C58" w:rsidRDefault="00111E65" w:rsidP="00D25AF0">
      <w:pPr>
        <w:pStyle w:val="NoSpacing"/>
        <w:rPr>
          <w:rFonts w:ascii="Times New Roman" w:hAnsi="Times New Roman" w:cs="Times New Roman"/>
          <w:sz w:val="24"/>
          <w:szCs w:val="24"/>
          <w:vertAlign w:val="subscript"/>
        </w:rPr>
      </w:pPr>
      <w:r w:rsidRPr="002F1C58">
        <w:rPr>
          <w:rStyle w:val="FootnoteReference"/>
          <w:rFonts w:ascii="Times New Roman" w:hAnsi="Times New Roman" w:cs="Times New Roman"/>
          <w:sz w:val="24"/>
          <w:szCs w:val="24"/>
          <w:vertAlign w:val="subscript"/>
        </w:rPr>
        <w:footnoteRef/>
      </w:r>
      <w:r w:rsidRPr="002F1C58">
        <w:rPr>
          <w:rFonts w:ascii="Times New Roman" w:hAnsi="Times New Roman" w:cs="Times New Roman"/>
          <w:sz w:val="24"/>
          <w:szCs w:val="24"/>
          <w:vertAlign w:val="subscript"/>
        </w:rPr>
        <w:t xml:space="preserve"> </w:t>
      </w:r>
      <w:r w:rsidRPr="002F1C58">
        <w:rPr>
          <w:rFonts w:ascii="Times New Roman" w:hAnsi="Times New Roman" w:cs="Times New Roman"/>
          <w:i/>
          <w:sz w:val="24"/>
          <w:szCs w:val="24"/>
          <w:vertAlign w:val="subscript"/>
        </w:rPr>
        <w:t xml:space="preserve">Ibid </w:t>
      </w:r>
      <w:r w:rsidRPr="002F1C58">
        <w:rPr>
          <w:rFonts w:ascii="Times New Roman" w:hAnsi="Times New Roman" w:cs="Times New Roman"/>
          <w:sz w:val="24"/>
          <w:szCs w:val="24"/>
          <w:vertAlign w:val="subscript"/>
        </w:rPr>
        <w:t xml:space="preserve">at Para. 35 </w:t>
      </w:r>
    </w:p>
  </w:footnote>
  <w:footnote w:id="7">
    <w:p w:rsidR="00111E65" w:rsidRPr="002F1C58" w:rsidRDefault="00111E65" w:rsidP="0079357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Russel Barsh, “The World’s Indigenous Peoples”, (2010)  Paper submitted to Calvert Group by</w:t>
      </w:r>
    </w:p>
    <w:p w:rsidR="00111E65" w:rsidRPr="002F1C58" w:rsidRDefault="00111E65" w:rsidP="00793575">
      <w:pPr>
        <w:pStyle w:val="NoSpacing"/>
        <w:rPr>
          <w:rFonts w:ascii="Times New Roman" w:hAnsi="Times New Roman" w:cs="Times New Roman"/>
          <w:b/>
          <w:sz w:val="24"/>
          <w:szCs w:val="24"/>
          <w:vertAlign w:val="superscript"/>
        </w:rPr>
      </w:pPr>
      <w:r w:rsidRPr="002F1C58">
        <w:rPr>
          <w:rFonts w:ascii="Times New Roman" w:hAnsi="Times New Roman" w:cs="Times New Roman"/>
          <w:sz w:val="24"/>
          <w:szCs w:val="24"/>
          <w:vertAlign w:val="superscript"/>
        </w:rPr>
        <w:t xml:space="preserve">First Nations Development Institute/First Peoples Worldwide, at P.8. Available at: http://www.sfu.ca/~palys/Barsh-TheWorldsIndigenousPeoples.pdf-Accessed 11/09/2014  </w:t>
      </w:r>
    </w:p>
    <w:p w:rsidR="00111E65" w:rsidRPr="002F1C58" w:rsidRDefault="00111E65" w:rsidP="00D25AF0">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“Development projects often contaminate water, crops and wildlife; destroy critical habitats and food sources; and physically displace indigenous peoples, resulting in malnutrition, contagious disease, and severe stress. Indigenous peoples have experienced declining health, increased birth defects and disability, and shorter life expectancies.”; On a related effect, Amnesty International reported that Native American and Alaskan Native women are 2.5 times more likely to be sexually assaulted than other women in the US. This discrepancy they argue is due to the legacy of historical sexual abuse against Native indigenous women, which often happened during episodes of displacement. Quoting from US Department of Justice figures, in 86% of reported cases indigenous women reported that non-native men were the perpetrators, see, “Maze of Injustice” Amnesty International, 2007; in Australia in 2001, approximately 20% of all adult incarcerated in prison were indigenous, despite making up only 2.4% of the whole population</w:t>
      </w:r>
      <w:r w:rsidRPr="002F1C58">
        <w:rPr>
          <w:rFonts w:ascii="Times New Roman" w:hAnsi="Times New Roman" w:cs="Times New Roman"/>
          <w:i/>
          <w:sz w:val="24"/>
          <w:szCs w:val="24"/>
          <w:vertAlign w:val="superscript"/>
        </w:rPr>
        <w:t>, State of the world’s Indigenous People</w:t>
      </w:r>
      <w:r w:rsidRPr="002F1C58">
        <w:rPr>
          <w:rFonts w:ascii="Times New Roman" w:hAnsi="Times New Roman" w:cs="Times New Roman"/>
          <w:sz w:val="24"/>
          <w:szCs w:val="24"/>
          <w:vertAlign w:val="superscript"/>
        </w:rPr>
        <w:t xml:space="preserve">s, UN Permanent Forum on Indigenous Issues (hereafter UNPFII). ST/ESA/328. </w:t>
      </w:r>
    </w:p>
  </w:footnote>
  <w:footnote w:id="8">
    <w:p w:rsidR="00111E65" w:rsidRPr="002F1C58" w:rsidRDefault="00111E65" w:rsidP="00D25AF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Lucy Claridge, “Landmark ruling provides major victory to Kenya’s indigenous Endorois”, </w:t>
      </w:r>
      <w:r w:rsidRPr="002F1C58">
        <w:rPr>
          <w:rFonts w:ascii="Times New Roman" w:hAnsi="Times New Roman" w:cs="Times New Roman"/>
          <w:i/>
          <w:sz w:val="24"/>
          <w:szCs w:val="24"/>
          <w:vertAlign w:val="superscript"/>
        </w:rPr>
        <w:t xml:space="preserve">Minority Rights Group International, </w:t>
      </w:r>
      <w:r w:rsidRPr="002F1C58">
        <w:rPr>
          <w:rFonts w:ascii="Times New Roman" w:hAnsi="Times New Roman" w:cs="Times New Roman"/>
          <w:sz w:val="24"/>
          <w:szCs w:val="24"/>
          <w:vertAlign w:val="superscript"/>
        </w:rPr>
        <w:t xml:space="preserve">Available at: </w:t>
      </w:r>
      <w:r w:rsidRPr="002F1C58">
        <w:rPr>
          <w:rFonts w:ascii="Times New Roman" w:hAnsi="Times New Roman" w:cs="Times New Roman"/>
          <w:sz w:val="24"/>
          <w:szCs w:val="24"/>
          <w:shd w:val="clear" w:color="auto" w:fill="FFFFFF"/>
          <w:vertAlign w:val="superscript"/>
        </w:rPr>
        <w:t>www.minorityrights.org/download.php?id=1009</w:t>
      </w:r>
      <w:r w:rsidRPr="002F1C58">
        <w:rPr>
          <w:rFonts w:ascii="Times New Roman" w:hAnsi="Times New Roman" w:cs="Times New Roman"/>
          <w:sz w:val="24"/>
          <w:szCs w:val="24"/>
          <w:vertAlign w:val="superscript"/>
        </w:rPr>
        <w:t xml:space="preserve"> Accessed 22/07/2014 </w:t>
      </w:r>
    </w:p>
  </w:footnote>
  <w:footnote w:id="9">
    <w:p w:rsidR="00111E65" w:rsidRPr="002F1C58" w:rsidRDefault="00111E65" w:rsidP="00D25AF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section 2.3.1 for contextual discussion on the meaning of dispossession as it relates to indigenous peoples, particularly indigenous nomadic peoples.  </w:t>
      </w:r>
    </w:p>
  </w:footnote>
  <w:footnote w:id="10">
    <w:p w:rsidR="00111E65" w:rsidRPr="002F1C58" w:rsidRDefault="00111E65" w:rsidP="00D25AF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For example, </w:t>
      </w:r>
      <w:r w:rsidRPr="002F1C58">
        <w:rPr>
          <w:rFonts w:ascii="Times New Roman" w:hAnsi="Times New Roman" w:cs="Times New Roman"/>
          <w:sz w:val="24"/>
          <w:szCs w:val="24"/>
          <w:shd w:val="clear" w:color="auto" w:fill="FFFFFF"/>
          <w:vertAlign w:val="superscript"/>
        </w:rPr>
        <w:t>dams and major irrigation projects e.g. hydroelectricity; mining (e.g. coal, oil, gas, zinc, and uranium, and precious stones such as diamonds, emeralds, and sapphires ); industrial scale and illegal logging; other large scale development projects also of importance include the building of roads, ports, airports; urban clearance initiatives; deforestation; and the introduction of conservation parks/reserves and biosphere projects</w:t>
      </w:r>
    </w:p>
  </w:footnote>
  <w:footnote w:id="11">
    <w:p w:rsidR="00111E65" w:rsidRPr="002F1C58" w:rsidRDefault="00111E65" w:rsidP="00D25AF0">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James Anaya, “</w:t>
      </w:r>
      <w:r w:rsidRPr="002F1C58">
        <w:rPr>
          <w:rFonts w:ascii="Times New Roman" w:hAnsi="Times New Roman" w:cs="Times New Roman"/>
          <w:i/>
          <w:sz w:val="24"/>
          <w:szCs w:val="24"/>
          <w:vertAlign w:val="superscript"/>
        </w:rPr>
        <w:t>Indigenous Peoples in International Law”, (</w:t>
      </w:r>
      <w:r w:rsidRPr="002F1C58">
        <w:rPr>
          <w:rFonts w:ascii="Times New Roman" w:hAnsi="Times New Roman" w:cs="Times New Roman"/>
          <w:sz w:val="24"/>
          <w:szCs w:val="24"/>
          <w:vertAlign w:val="superscript"/>
        </w:rPr>
        <w:t>2004) Oxford University Press</w:t>
      </w:r>
      <w:r w:rsidRPr="002F1C58">
        <w:rPr>
          <w:rFonts w:ascii="Times New Roman" w:hAnsi="Times New Roman" w:cs="Times New Roman"/>
          <w:i/>
          <w:sz w:val="24"/>
          <w:szCs w:val="24"/>
          <w:vertAlign w:val="superscript"/>
        </w:rPr>
        <w:t xml:space="preserve"> </w:t>
      </w:r>
      <w:r w:rsidRPr="002F1C58">
        <w:rPr>
          <w:rFonts w:ascii="Times New Roman" w:hAnsi="Times New Roman" w:cs="Times New Roman"/>
          <w:sz w:val="24"/>
          <w:szCs w:val="24"/>
          <w:vertAlign w:val="superscript"/>
        </w:rPr>
        <w:t>in particular, Part 1, The Historical Context Pp. 31-34 on the Trusteeship Doctrine and its overt mission of social engineering to “civilise” indigenous peoples from their “backward” ways in order to change their social and cultural patterns.</w:t>
      </w:r>
    </w:p>
  </w:footnote>
  <w:footnote w:id="12">
    <w:p w:rsidR="00111E65" w:rsidRPr="002F1C58" w:rsidRDefault="00111E65" w:rsidP="00D25AF0">
      <w:pPr>
        <w:pStyle w:val="NoSpacing"/>
        <w:rPr>
          <w:rFonts w:ascii="Times New Roman" w:eastAsiaTheme="majorEastAsia" w:hAnsi="Times New Roman" w:cs="Times New Roman"/>
          <w:kern w:val="24"/>
          <w:sz w:val="24"/>
          <w:szCs w:val="24"/>
          <w:vertAlign w:val="superscript"/>
          <w:lang w:val="en-GB"/>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“Leaked World Bank lending policies 'environmentally disastrous ”, The Guardian, 25/08/2104  Available at: http://www.theguardian.com/environment/2014/jul/25/leaked-world-bank-lending-policies-environmentally-disastrous-Accessed 25/08/2014  </w:t>
      </w:r>
    </w:p>
  </w:footnote>
  <w:footnote w:id="13">
    <w:p w:rsidR="00111E65" w:rsidRPr="002F1C58" w:rsidRDefault="00111E65" w:rsidP="0046419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Shivana Chaudhry argues that both terms have gained acceptance in international law, and that they refer to overlapping and inter-related practices incorporating three basic elements: 1, the, “removal of individuals or groups from their places of habitual residence and work”; 2, ; “forced, in the sense of being undertaken </w:t>
      </w:r>
    </w:p>
    <w:p w:rsidR="00111E65" w:rsidRPr="002F1C58" w:rsidRDefault="00111E65" w:rsidP="0046419C">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involuntarily or through coercion vis-à-vis those removed”; and 3, they are, “illegal by </w:t>
      </w:r>
    </w:p>
    <w:p w:rsidR="00111E65" w:rsidRPr="002F1C58" w:rsidRDefault="00111E65" w:rsidP="0046419C">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virtue of their non-conformity with domestic law and/or arbitrary by virtue of their non-conformity with international law.” See “Development-Induced Displacement and forced Evictions” in Walter Kälin, Rhodri C.Williams, Khalid Koser, and Andrew Solomon  (eds) </w:t>
      </w:r>
      <w:r w:rsidRPr="002F1C58">
        <w:rPr>
          <w:rFonts w:ascii="Times New Roman" w:hAnsi="Times New Roman" w:cs="Times New Roman"/>
          <w:i/>
          <w:sz w:val="24"/>
          <w:szCs w:val="24"/>
          <w:vertAlign w:val="superscript"/>
        </w:rPr>
        <w:t xml:space="preserve">Incorporating the Guiding Principles on Internal Displacement into Domestic Law: Issues and challenges </w:t>
      </w:r>
      <w:r w:rsidRPr="002F1C58">
        <w:rPr>
          <w:rFonts w:ascii="Times New Roman" w:hAnsi="Times New Roman" w:cs="Times New Roman"/>
          <w:sz w:val="24"/>
          <w:szCs w:val="24"/>
          <w:vertAlign w:val="superscript"/>
        </w:rPr>
        <w:t xml:space="preserve">(Brookings University, Bern) at P.161 </w:t>
      </w:r>
      <w:r w:rsidRPr="002F1C58">
        <w:rPr>
          <w:rFonts w:ascii="Times New Roman" w:hAnsi="Times New Roman" w:cs="Times New Roman"/>
          <w:i/>
          <w:sz w:val="24"/>
          <w:szCs w:val="24"/>
          <w:vertAlign w:val="superscript"/>
        </w:rPr>
        <w:t xml:space="preserve"> </w:t>
      </w:r>
    </w:p>
  </w:footnote>
  <w:footnote w:id="14">
    <w:p w:rsidR="00111E65" w:rsidRPr="002F1C58" w:rsidRDefault="00111E65" w:rsidP="0046419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w:t>
      </w:r>
      <w:r w:rsidRPr="002F1C58">
        <w:rPr>
          <w:rFonts w:ascii="Times New Roman" w:hAnsi="Times New Roman" w:cs="Times New Roman"/>
          <w:iCs/>
          <w:sz w:val="24"/>
          <w:szCs w:val="24"/>
          <w:vertAlign w:val="superscript"/>
        </w:rPr>
        <w:t>Convention concerning Indigenous and Tribal Peoples in Independent Countries (hereafter ILO 169) Adopted</w:t>
      </w:r>
      <w:r w:rsidRPr="002F1C58">
        <w:rPr>
          <w:rFonts w:ascii="Times New Roman" w:hAnsi="Times New Roman" w:cs="Times New Roman"/>
          <w:iCs/>
          <w:sz w:val="24"/>
          <w:szCs w:val="24"/>
          <w:shd w:val="clear" w:color="auto" w:fill="FFFFFF"/>
          <w:vertAlign w:val="superscript"/>
        </w:rPr>
        <w:t xml:space="preserve"> 27 Jun 1989 (entered into force 5, Sept. 1991), in particular Articles 8 and 10 </w:t>
      </w:r>
    </w:p>
  </w:footnote>
  <w:footnote w:id="15">
    <w:p w:rsidR="00111E65" w:rsidRPr="002F1C58" w:rsidRDefault="00111E65" w:rsidP="0046419C">
      <w:pPr>
        <w:pStyle w:val="NoSpacing"/>
        <w:rPr>
          <w:rFonts w:ascii="Times New Roman" w:hAnsi="Times New Roman" w:cs="Times New Roman"/>
          <w:sz w:val="24"/>
          <w:szCs w:val="24"/>
          <w:vertAlign w:val="superscript"/>
          <w:lang w:val="es-E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w:t>
      </w:r>
      <w:r w:rsidRPr="002F1C58">
        <w:rPr>
          <w:rFonts w:ascii="Times New Roman" w:hAnsi="Times New Roman" w:cs="Times New Roman"/>
          <w:sz w:val="24"/>
          <w:szCs w:val="24"/>
          <w:vertAlign w:val="superscript"/>
        </w:rPr>
        <w:t xml:space="preserve">Declaration on the Rights of Indigenous Peoples, G.A. Res. 61/295, U.N. Doc. A/RES/61/295 Sept. 13, 2007, See in particular, Article 8 (2) (a) &amp; (b) and Article 10 </w:t>
      </w:r>
    </w:p>
  </w:footnote>
  <w:footnote w:id="16">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UN Economic and Social Council (ECOSOC),</w:t>
      </w:r>
      <w:r w:rsidRPr="002F1C58">
        <w:rPr>
          <w:rStyle w:val="apple-converted-space"/>
          <w:rFonts w:ascii="Times New Roman" w:hAnsi="Times New Roman" w:cs="Times New Roman"/>
          <w:sz w:val="24"/>
          <w:szCs w:val="24"/>
          <w:vertAlign w:val="superscript"/>
        </w:rPr>
        <w:t> </w:t>
      </w:r>
      <w:r w:rsidRPr="002F1C58">
        <w:rPr>
          <w:rFonts w:ascii="Times New Roman" w:hAnsi="Times New Roman" w:cs="Times New Roman"/>
          <w:i/>
          <w:iCs/>
          <w:sz w:val="24"/>
          <w:szCs w:val="24"/>
          <w:vertAlign w:val="superscript"/>
        </w:rPr>
        <w:t>Guiding Principles on Internal Displacement</w:t>
      </w:r>
      <w:r w:rsidRPr="002F1C58">
        <w:rPr>
          <w:rFonts w:ascii="Times New Roman" w:hAnsi="Times New Roman" w:cs="Times New Roman"/>
          <w:sz w:val="24"/>
          <w:szCs w:val="24"/>
          <w:vertAlign w:val="superscript"/>
        </w:rPr>
        <w:t xml:space="preserve">, 22 July 1998, E/CN.4/1998/53/Add.2 , </w:t>
      </w:r>
    </w:p>
  </w:footnote>
  <w:footnote w:id="17">
    <w:p w:rsidR="00111E65" w:rsidRPr="002F1C58" w:rsidRDefault="00111E65" w:rsidP="0046419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GA Res 2200A, UN GAOR, 21st Sess,</w:t>
      </w:r>
      <w:r w:rsidRPr="002F1C58">
        <w:rPr>
          <w:rFonts w:ascii="Times New Roman" w:hAnsi="Times New Roman" w:cs="Times New Roman"/>
          <w:color w:val="000000"/>
          <w:sz w:val="24"/>
          <w:szCs w:val="24"/>
          <w:shd w:val="clear" w:color="auto" w:fill="FFFFFF"/>
          <w:vertAlign w:val="superscript"/>
        </w:rPr>
        <w:t xml:space="preserve"> UN Doc. A/6316 (16 Dec.1966) </w:t>
      </w:r>
      <w:r w:rsidRPr="002F1C58">
        <w:rPr>
          <w:rFonts w:ascii="Times New Roman" w:hAnsi="Times New Roman" w:cs="Times New Roman"/>
          <w:i/>
          <w:color w:val="000000"/>
          <w:sz w:val="24"/>
          <w:szCs w:val="24"/>
          <w:shd w:val="clear" w:color="auto" w:fill="FFFFFF"/>
          <w:vertAlign w:val="superscript"/>
        </w:rPr>
        <w:t>999 UNTS 171</w:t>
      </w:r>
      <w:r w:rsidRPr="002F1C58">
        <w:rPr>
          <w:rFonts w:ascii="Times New Roman" w:hAnsi="Times New Roman" w:cs="Times New Roman"/>
          <w:color w:val="000000"/>
          <w:sz w:val="24"/>
          <w:szCs w:val="24"/>
          <w:shd w:val="clear" w:color="auto" w:fill="FFFFFF"/>
          <w:vertAlign w:val="superscript"/>
        </w:rPr>
        <w:t xml:space="preserve">, entered into force 23 March  1976,  </w:t>
      </w:r>
      <w:r w:rsidRPr="002F1C58">
        <w:rPr>
          <w:rFonts w:ascii="Times New Roman" w:hAnsi="Times New Roman" w:cs="Times New Roman"/>
          <w:sz w:val="24"/>
          <w:szCs w:val="24"/>
          <w:vertAlign w:val="superscript"/>
        </w:rPr>
        <w:t>in particular Article 27 on minorities</w:t>
      </w:r>
    </w:p>
  </w:footnote>
  <w:footnote w:id="18">
    <w:p w:rsidR="00111E65" w:rsidRPr="002F1C58" w:rsidRDefault="00111E65" w:rsidP="00282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G.A. 2106A (XX). 660 U.N.T.S. 195 (entered into force January 4th, 1969) </w:t>
      </w:r>
    </w:p>
    <w:p w:rsidR="00111E65" w:rsidRPr="002F1C58" w:rsidRDefault="00111E65">
      <w:pPr>
        <w:pStyle w:val="FootnoteText"/>
        <w:rPr>
          <w:rFonts w:ascii="Times New Roman" w:hAnsi="Times New Roman" w:cs="Times New Roman"/>
          <w:sz w:val="24"/>
          <w:szCs w:val="24"/>
          <w:vertAlign w:val="superscript"/>
        </w:rPr>
      </w:pPr>
    </w:p>
  </w:footnote>
  <w:footnote w:id="19">
    <w:p w:rsidR="00111E65" w:rsidRPr="002F1C58" w:rsidRDefault="00111E65" w:rsidP="008229FF">
      <w:pPr>
        <w:pStyle w:val="NoSpacing"/>
        <w:rPr>
          <w:rFonts w:ascii="Times New Roman" w:eastAsiaTheme="majorEastAsia" w:hAnsi="Times New Roman" w:cs="Times New Roman"/>
          <w:kern w:val="24"/>
          <w:sz w:val="24"/>
          <w:szCs w:val="24"/>
          <w:vertAlign w:val="superscript"/>
          <w:lang w:val="en-GB"/>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eastAsiaTheme="majorEastAsia" w:hAnsi="Times New Roman" w:cs="Times New Roman"/>
          <w:kern w:val="24"/>
          <w:sz w:val="24"/>
          <w:szCs w:val="24"/>
          <w:vertAlign w:val="superscript"/>
          <w:lang w:val="en-GB"/>
        </w:rPr>
        <w:t>In other words, there is a conflict of rights: the classic tension between development and human rights. As a subtext to this, there is also a significant conflict of values: on the one hand, the modern nation-state’s normative ideals of a singular mode of technological and economic development, often ideologically equated with the idea of national progress; and on the other hand, indigenous peoples’ value system premised on communal collectivism and, increasingly, ecological preservation.</w:t>
      </w:r>
    </w:p>
  </w:footnote>
  <w:footnote w:id="20">
    <w:p w:rsidR="00111E65" w:rsidRPr="002F1C58" w:rsidRDefault="00111E65" w:rsidP="008229FF">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Christopher McCrudden, “Legal Research and the Social Sciences”, </w:t>
      </w:r>
      <w:r w:rsidRPr="002F1C58">
        <w:rPr>
          <w:rFonts w:ascii="Times New Roman" w:hAnsi="Times New Roman" w:cs="Times New Roman"/>
          <w:i/>
          <w:sz w:val="24"/>
          <w:szCs w:val="24"/>
          <w:vertAlign w:val="superscript"/>
        </w:rPr>
        <w:t>Law Quarterly Review</w:t>
      </w:r>
      <w:r w:rsidRPr="002F1C58">
        <w:rPr>
          <w:rFonts w:ascii="Times New Roman" w:hAnsi="Times New Roman" w:cs="Times New Roman"/>
          <w:sz w:val="24"/>
          <w:szCs w:val="24"/>
          <w:vertAlign w:val="superscript"/>
        </w:rPr>
        <w:t xml:space="preserve">, 2006 </w:t>
      </w:r>
    </w:p>
  </w:footnote>
  <w:footnote w:id="21">
    <w:p w:rsidR="00111E65" w:rsidRPr="002F1C58" w:rsidRDefault="00111E65" w:rsidP="008229FF">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P. 1 </w:t>
      </w:r>
    </w:p>
  </w:footnote>
  <w:footnote w:id="22">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I</w:t>
      </w:r>
      <w:r w:rsidRPr="002F1C58">
        <w:rPr>
          <w:rFonts w:ascii="Times New Roman" w:hAnsi="Times New Roman" w:cs="Times New Roman"/>
          <w:i/>
          <w:sz w:val="24"/>
          <w:szCs w:val="24"/>
          <w:vertAlign w:val="superscript"/>
        </w:rPr>
        <w:t>nfra</w:t>
      </w:r>
      <w:r w:rsidRPr="002F1C58">
        <w:rPr>
          <w:rFonts w:ascii="Times New Roman" w:hAnsi="Times New Roman" w:cs="Times New Roman"/>
          <w:sz w:val="24"/>
          <w:szCs w:val="24"/>
          <w:vertAlign w:val="superscript"/>
        </w:rPr>
        <w:t xml:space="preserve"> Chapter 5 section 5.3.1 </w:t>
      </w:r>
    </w:p>
  </w:footnote>
  <w:footnote w:id="23">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 Patrick Thornberry “ </w:t>
      </w:r>
      <w:r w:rsidRPr="002F1C58">
        <w:rPr>
          <w:rFonts w:ascii="Times New Roman" w:hAnsi="Times New Roman" w:cs="Times New Roman"/>
          <w:i/>
          <w:sz w:val="24"/>
          <w:szCs w:val="24"/>
          <w:vertAlign w:val="superscript"/>
        </w:rPr>
        <w:t>Indigenous Peoples and Human Rights</w:t>
      </w:r>
      <w:r w:rsidRPr="002F1C58">
        <w:rPr>
          <w:rFonts w:ascii="Times New Roman" w:hAnsi="Times New Roman" w:cs="Times New Roman"/>
          <w:sz w:val="24"/>
          <w:szCs w:val="24"/>
          <w:vertAlign w:val="superscript"/>
        </w:rPr>
        <w:t xml:space="preserve">” (2002)  Manchester University Press Pp. 12-33; see  Anaya, supra n. 11,  introduction and Pt 1, The Historical Context; for discussion on the devastation wrought by upon the peoples of the Americas by “first contact” with Europeans see Francis Jennings, </w:t>
      </w:r>
      <w:r w:rsidRPr="002F1C58">
        <w:rPr>
          <w:rFonts w:ascii="Times New Roman" w:hAnsi="Times New Roman" w:cs="Times New Roman"/>
          <w:i/>
          <w:sz w:val="24"/>
          <w:szCs w:val="24"/>
          <w:vertAlign w:val="superscript"/>
        </w:rPr>
        <w:t xml:space="preserve">The Founders of America, </w:t>
      </w:r>
      <w:r w:rsidRPr="002F1C58">
        <w:rPr>
          <w:rFonts w:ascii="Times New Roman" w:hAnsi="Times New Roman" w:cs="Times New Roman"/>
          <w:sz w:val="24"/>
          <w:szCs w:val="24"/>
          <w:vertAlign w:val="superscript"/>
        </w:rPr>
        <w:t xml:space="preserve"> Norton (1994)</w:t>
      </w:r>
      <w:r w:rsidRPr="002F1C58">
        <w:rPr>
          <w:rFonts w:ascii="Times New Roman" w:hAnsi="Times New Roman" w:cs="Times New Roman"/>
          <w:i/>
          <w:sz w:val="24"/>
          <w:szCs w:val="24"/>
          <w:vertAlign w:val="superscript"/>
        </w:rPr>
        <w:t xml:space="preserve"> </w:t>
      </w:r>
      <w:r w:rsidRPr="002F1C58">
        <w:rPr>
          <w:rFonts w:ascii="Times New Roman" w:hAnsi="Times New Roman" w:cs="Times New Roman"/>
          <w:sz w:val="24"/>
          <w:szCs w:val="24"/>
          <w:vertAlign w:val="superscript"/>
        </w:rPr>
        <w:t xml:space="preserve"> Pt 6, The End of Independence, Pp. 309-371; Paul Keal “</w:t>
      </w:r>
      <w:r w:rsidRPr="002F1C58">
        <w:rPr>
          <w:rFonts w:ascii="Times New Roman" w:hAnsi="Times New Roman" w:cs="Times New Roman"/>
          <w:i/>
          <w:sz w:val="24"/>
          <w:szCs w:val="24"/>
          <w:vertAlign w:val="superscript"/>
        </w:rPr>
        <w:t>European Conquest and the Rights of Indigenous Peoples: The Moral Backwardness of International Society</w:t>
      </w:r>
      <w:r w:rsidRPr="002F1C58">
        <w:rPr>
          <w:rFonts w:ascii="Times New Roman" w:hAnsi="Times New Roman" w:cs="Times New Roman"/>
          <w:sz w:val="24"/>
          <w:szCs w:val="24"/>
          <w:vertAlign w:val="superscript"/>
        </w:rPr>
        <w:t xml:space="preserve">” Cambridge University Press. (2003) for a discussion on the imperial expansion of European nation-states from the 15th century onwards during the “age of discovery” and the subjugation of indigenous peoples in the context of “the civilising mission” of colonialism.  </w:t>
      </w:r>
    </w:p>
  </w:footnote>
  <w:footnote w:id="24">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(Thornberry)</w:t>
      </w:r>
    </w:p>
  </w:footnote>
  <w:footnote w:id="25">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“The Indigenous People of Mindanao”, available at: http://www.philippines.hvu.nl/mindanao2.htm-accessed 10th/09/2014   </w:t>
      </w:r>
    </w:p>
  </w:footnote>
  <w:footnote w:id="26">
    <w:p w:rsidR="00111E65" w:rsidRPr="002F1C58" w:rsidRDefault="00111E65" w:rsidP="001A70A9">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w:t>
      </w:r>
      <w:r w:rsidRPr="002F1C58">
        <w:rPr>
          <w:rFonts w:ascii="Times New Roman" w:hAnsi="Times New Roman" w:cs="Times New Roman"/>
          <w:i/>
          <w:sz w:val="24"/>
          <w:szCs w:val="24"/>
          <w:vertAlign w:val="superscript"/>
        </w:rPr>
        <w:t xml:space="preserve"> Supra</w:t>
      </w:r>
      <w:r w:rsidRPr="002F1C58">
        <w:rPr>
          <w:rFonts w:ascii="Times New Roman" w:hAnsi="Times New Roman" w:cs="Times New Roman"/>
          <w:sz w:val="24"/>
          <w:szCs w:val="24"/>
          <w:vertAlign w:val="superscript"/>
        </w:rPr>
        <w:t xml:space="preserve"> n. 24  </w:t>
      </w:r>
    </w:p>
  </w:footnote>
  <w:footnote w:id="27">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UN Doc. E/CN.4/Sub.2/1996/21.At P.2 </w:t>
      </w:r>
    </w:p>
  </w:footnote>
  <w:footnote w:id="28">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006A416B">
        <w:rPr>
          <w:rFonts w:ascii="Times New Roman" w:eastAsia="Times New Roman" w:hAnsi="Times New Roman" w:cs="Times New Roman"/>
          <w:bCs/>
          <w:color w:val="000000"/>
          <w:sz w:val="24"/>
          <w:szCs w:val="24"/>
          <w:vertAlign w:val="superscript"/>
        </w:rPr>
        <w:t>European</w:t>
      </w:r>
      <w:r w:rsidRPr="002F1C58">
        <w:rPr>
          <w:rFonts w:ascii="Times New Roman" w:eastAsia="Times New Roman" w:hAnsi="Times New Roman" w:cs="Times New Roman"/>
          <w:bCs/>
          <w:color w:val="000000"/>
          <w:sz w:val="24"/>
          <w:szCs w:val="24"/>
          <w:vertAlign w:val="superscript"/>
        </w:rPr>
        <w:t xml:space="preserve"> colonists migrated and settled on the territories of the peoples of: North and South America, including the Arctic regions and Hawaii and Pacific regions, the Aboriginal inhabitants of Australasia, and the tribal peoples of Asia and Africa.</w:t>
      </w:r>
    </w:p>
  </w:footnote>
  <w:footnote w:id="29">
    <w:p w:rsidR="00111E65" w:rsidRPr="002F1C58" w:rsidRDefault="00111E65" w:rsidP="002C0F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8, (Claridge) at p.2 </w:t>
      </w:r>
    </w:p>
  </w:footnote>
  <w:footnote w:id="30">
    <w:p w:rsidR="00111E65" w:rsidRPr="002F1C58" w:rsidRDefault="00111E65" w:rsidP="002C0F74">
      <w:pPr>
        <w:pStyle w:val="NoSpacing"/>
        <w:rPr>
          <w:rFonts w:ascii="Times New Roman" w:eastAsia="Times New Roman" w:hAnsi="Times New Roman" w:cs="Times New Roman"/>
          <w:bCs/>
          <w:i/>
          <w:color w:val="000000"/>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Baogang He, “</w:t>
      </w:r>
      <w:r w:rsidRPr="002F1C58">
        <w:rPr>
          <w:rFonts w:ascii="Times New Roman" w:eastAsia="Times New Roman" w:hAnsi="Times New Roman" w:cs="Times New Roman"/>
          <w:bCs/>
          <w:color w:val="000000"/>
          <w:sz w:val="24"/>
          <w:szCs w:val="24"/>
          <w:vertAlign w:val="superscript"/>
        </w:rPr>
        <w:t>The Contested Politics of Asian Responses to Indigenous Rights</w:t>
      </w:r>
      <w:r w:rsidRPr="002F1C58">
        <w:rPr>
          <w:rFonts w:ascii="Times New Roman" w:eastAsia="Times New Roman" w:hAnsi="Times New Roman" w:cs="Times New Roman"/>
          <w:bCs/>
          <w:i/>
          <w:color w:val="000000"/>
          <w:sz w:val="24"/>
          <w:szCs w:val="24"/>
          <w:vertAlign w:val="superscript"/>
        </w:rPr>
        <w:t xml:space="preserve">” 18 Int'l J. on Minority &amp; Group Rts. 461 2011. </w:t>
      </w:r>
      <w:r w:rsidRPr="002F1C58">
        <w:rPr>
          <w:rFonts w:ascii="Times New Roman" w:eastAsia="Times New Roman" w:hAnsi="Times New Roman" w:cs="Times New Roman"/>
          <w:bCs/>
          <w:color w:val="000000"/>
          <w:sz w:val="24"/>
          <w:szCs w:val="24"/>
          <w:vertAlign w:val="superscript"/>
        </w:rPr>
        <w:t>at</w:t>
      </w:r>
      <w:r w:rsidRPr="002F1C58">
        <w:rPr>
          <w:rFonts w:ascii="Times New Roman" w:eastAsia="Times New Roman" w:hAnsi="Times New Roman" w:cs="Times New Roman"/>
          <w:bCs/>
          <w:i/>
          <w:color w:val="000000"/>
          <w:sz w:val="24"/>
          <w:szCs w:val="24"/>
          <w:vertAlign w:val="superscript"/>
        </w:rPr>
        <w:t xml:space="preserve"> </w:t>
      </w:r>
      <w:r w:rsidRPr="002F1C58">
        <w:rPr>
          <w:rFonts w:ascii="Times New Roman" w:eastAsia="Times New Roman" w:hAnsi="Times New Roman" w:cs="Times New Roman"/>
          <w:bCs/>
          <w:color w:val="000000"/>
          <w:sz w:val="24"/>
          <w:szCs w:val="24"/>
          <w:vertAlign w:val="superscript"/>
        </w:rPr>
        <w:t>P. 463</w:t>
      </w:r>
    </w:p>
  </w:footnote>
  <w:footnote w:id="31">
    <w:p w:rsidR="00111E65" w:rsidRPr="002F1C58" w:rsidRDefault="00111E65" w:rsidP="002C0F74">
      <w:pPr>
        <w:pStyle w:val="NoSpacing"/>
        <w:rPr>
          <w:rFonts w:ascii="Times New Roman" w:eastAsia="Times New Roman" w:hAnsi="Times New Roman" w:cs="Times New Roman"/>
          <w:bCs/>
          <w:color w:val="000000"/>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eastAsia="Times New Roman" w:hAnsi="Times New Roman" w:cs="Times New Roman"/>
          <w:bCs/>
          <w:color w:val="000000"/>
          <w:sz w:val="24"/>
          <w:szCs w:val="24"/>
          <w:vertAlign w:val="superscript"/>
        </w:rPr>
        <w:t xml:space="preserve">See J Ngugi, “The Decolonisation-modernisation Interface and the Plight of Indigenous Peoples in Post-colonial Development Discourse in Africa’” (2002) </w:t>
      </w:r>
      <w:r w:rsidRPr="002F1C58">
        <w:rPr>
          <w:rFonts w:ascii="Times New Roman" w:eastAsia="Times New Roman" w:hAnsi="Times New Roman" w:cs="Times New Roman"/>
          <w:bCs/>
          <w:i/>
          <w:color w:val="000000"/>
          <w:sz w:val="24"/>
          <w:szCs w:val="24"/>
          <w:vertAlign w:val="superscript"/>
        </w:rPr>
        <w:t>20 Wisconsin International Law Journal 289</w:t>
      </w:r>
    </w:p>
  </w:footnote>
  <w:footnote w:id="32">
    <w:p w:rsidR="00111E65" w:rsidRPr="002F1C58" w:rsidRDefault="00111E65" w:rsidP="002C0F74">
      <w:pPr>
        <w:pStyle w:val="NoSpacing"/>
        <w:rPr>
          <w:rFonts w:ascii="Times New Roman" w:eastAsia="Times New Roman" w:hAnsi="Times New Roman" w:cs="Times New Roman"/>
          <w:bCs/>
          <w:color w:val="000000"/>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African Commission on Human and Peoples' Rights, Advisory Opinion of the African Commission Human and Peoples' Rights on the United Nations Declaration on the Rights </w:t>
      </w:r>
      <w:r w:rsidRPr="002F1C58">
        <w:rPr>
          <w:rFonts w:ascii="Times New Roman" w:hAnsi="Times New Roman" w:cs="Times New Roman"/>
          <w:bCs/>
          <w:sz w:val="24"/>
          <w:szCs w:val="24"/>
          <w:vertAlign w:val="superscript"/>
        </w:rPr>
        <w:t xml:space="preserve">of </w:t>
      </w:r>
      <w:r w:rsidRPr="002F1C58">
        <w:rPr>
          <w:rFonts w:ascii="Times New Roman" w:hAnsi="Times New Roman" w:cs="Times New Roman"/>
          <w:sz w:val="24"/>
          <w:szCs w:val="24"/>
          <w:vertAlign w:val="superscript"/>
        </w:rPr>
        <w:t xml:space="preserve">indigenous Peoples, (adopted </w:t>
      </w:r>
      <w:r w:rsidRPr="002F1C58">
        <w:rPr>
          <w:rFonts w:ascii="Times New Roman" w:hAnsi="Times New Roman" w:cs="Times New Roman"/>
          <w:bCs/>
          <w:sz w:val="24"/>
          <w:szCs w:val="24"/>
          <w:vertAlign w:val="superscript"/>
        </w:rPr>
        <w:t xml:space="preserve">by </w:t>
      </w:r>
      <w:r w:rsidRPr="002F1C58">
        <w:rPr>
          <w:rFonts w:ascii="Times New Roman" w:hAnsi="Times New Roman" w:cs="Times New Roman"/>
          <w:sz w:val="24"/>
          <w:szCs w:val="24"/>
          <w:vertAlign w:val="superscript"/>
        </w:rPr>
        <w:t xml:space="preserve">the 41st ordinary session, </w:t>
      </w:r>
      <w:r w:rsidRPr="002F1C58">
        <w:rPr>
          <w:rFonts w:ascii="Times New Roman" w:hAnsi="Times New Roman" w:cs="Times New Roman"/>
          <w:bCs/>
          <w:sz w:val="24"/>
          <w:szCs w:val="24"/>
          <w:vertAlign w:val="superscript"/>
        </w:rPr>
        <w:t xml:space="preserve">16- </w:t>
      </w:r>
      <w:r w:rsidRPr="002F1C58">
        <w:rPr>
          <w:rFonts w:ascii="Times New Roman" w:hAnsi="Times New Roman" w:cs="Times New Roman"/>
          <w:sz w:val="24"/>
          <w:szCs w:val="24"/>
          <w:vertAlign w:val="superscript"/>
        </w:rPr>
        <w:t xml:space="preserve">30 May </w:t>
      </w:r>
      <w:r w:rsidRPr="002F1C58">
        <w:rPr>
          <w:rFonts w:ascii="Times New Roman" w:hAnsi="Times New Roman" w:cs="Times New Roman"/>
          <w:bCs/>
          <w:sz w:val="24"/>
          <w:szCs w:val="24"/>
          <w:vertAlign w:val="superscript"/>
        </w:rPr>
        <w:t>2007)</w:t>
      </w:r>
    </w:p>
  </w:footnote>
  <w:footnote w:id="33">
    <w:p w:rsidR="00111E65" w:rsidRPr="002F1C58" w:rsidRDefault="00111E65" w:rsidP="00997D7E">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7 (Barsh) at P.2. China for example does not recognise its tribal minorities, numbering approximately 100 million, as indigenous. </w:t>
      </w:r>
    </w:p>
  </w:footnote>
  <w:footnote w:id="34">
    <w:p w:rsidR="00111E65" w:rsidRPr="002F1C58" w:rsidRDefault="00111E65" w:rsidP="00997D7E">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 s</w:t>
      </w:r>
      <w:r w:rsidRPr="002F1C58">
        <w:rPr>
          <w:rFonts w:ascii="Times New Roman" w:hAnsi="Times New Roman" w:cs="Times New Roman"/>
          <w:i/>
          <w:sz w:val="24"/>
          <w:szCs w:val="24"/>
          <w:vertAlign w:val="superscript"/>
        </w:rPr>
        <w:t>upra</w:t>
      </w:r>
      <w:r w:rsidRPr="002F1C58">
        <w:rPr>
          <w:rFonts w:ascii="Times New Roman" w:hAnsi="Times New Roman" w:cs="Times New Roman"/>
          <w:sz w:val="24"/>
          <w:szCs w:val="24"/>
          <w:vertAlign w:val="superscript"/>
        </w:rPr>
        <w:t xml:space="preserve"> N 11, (Anaya)</w:t>
      </w:r>
    </w:p>
  </w:footnote>
  <w:footnote w:id="35">
    <w:p w:rsidR="00111E65" w:rsidRPr="002F1C58" w:rsidRDefault="00111E65" w:rsidP="002C0F74">
      <w:pPr>
        <w:pStyle w:val="NoSpacing"/>
        <w:rPr>
          <w:rFonts w:ascii="Times New Roman" w:eastAsia="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For a more detailed discussion on the question of  definitions and the typology rights pertaining to minority groups and indigenous peoples see, Asbjørn </w:t>
      </w:r>
      <w:r w:rsidRPr="002F1C58">
        <w:rPr>
          <w:rFonts w:ascii="Times New Roman" w:eastAsia="Times New Roman" w:hAnsi="Times New Roman" w:cs="Times New Roman"/>
          <w:sz w:val="24"/>
          <w:szCs w:val="24"/>
          <w:vertAlign w:val="superscript"/>
        </w:rPr>
        <w:t xml:space="preserve">Eide and Erika-Irene Daes, “Working paper on the relationship and distinction between the rights of persons belonging to minorities and those of indigenous peoples”, UN Doc E/CN.4/ Sub.2/2000/10 20. 19th July 2000 </w:t>
      </w:r>
    </w:p>
  </w:footnote>
  <w:footnote w:id="36">
    <w:p w:rsidR="00111E65" w:rsidRPr="002F1C58" w:rsidRDefault="00111E65" w:rsidP="00A96E9E">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Indigenous People, Indigenous Voices: Factsheet, UNPFII. Available at: http://www.un.org/esa/socdev/ unpfii/documents/5session factsheet-accessed 21/008/2014</w:t>
      </w:r>
    </w:p>
  </w:footnote>
  <w:footnote w:id="37">
    <w:p w:rsidR="00111E65" w:rsidRPr="002F1C58" w:rsidRDefault="00111E65" w:rsidP="00661B61">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Anna Meijknecht and Byung Sook de Vries, “Is There a Place for Minorities' and Indigenous Peoples'</w:t>
      </w:r>
    </w:p>
    <w:p w:rsidR="00111E65" w:rsidRPr="002F1C58" w:rsidRDefault="00111E65" w:rsidP="00661B61">
      <w:pPr>
        <w:pStyle w:val="NoSpacing"/>
        <w:rPr>
          <w:rFonts w:ascii="Times New Roman" w:eastAsia="Times New Roman" w:hAnsi="Times New Roman" w:cs="Times New Roman"/>
          <w:color w:val="000000"/>
          <w:sz w:val="24"/>
          <w:szCs w:val="24"/>
          <w:vertAlign w:val="superscript"/>
        </w:rPr>
      </w:pPr>
      <w:r w:rsidRPr="002F1C58">
        <w:rPr>
          <w:rFonts w:ascii="Times New Roman" w:hAnsi="Times New Roman" w:cs="Times New Roman"/>
          <w:sz w:val="24"/>
          <w:szCs w:val="24"/>
          <w:vertAlign w:val="superscript"/>
        </w:rPr>
        <w:t xml:space="preserve">Rights within ASEAN?: Asian Values, ASEAN Values and the Protection of Southeast Asian Minorities and Indigenous Peoples”, </w:t>
      </w:r>
      <w:r w:rsidRPr="002F1C58">
        <w:rPr>
          <w:rFonts w:ascii="Times New Roman" w:hAnsi="Times New Roman" w:cs="Times New Roman"/>
          <w:i/>
          <w:sz w:val="24"/>
          <w:szCs w:val="24"/>
          <w:vertAlign w:val="superscript"/>
        </w:rPr>
        <w:t>17 Int'l J. on Minority &amp; Group Rts. 75 2010</w:t>
      </w:r>
    </w:p>
  </w:footnote>
  <w:footnote w:id="38">
    <w:p w:rsidR="00111E65" w:rsidRPr="002F1C58" w:rsidRDefault="00111E65" w:rsidP="004E665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Willem van Genugten, “Protection of Indigenous People on the African Continent: Concepts, Position Seeking, and the Interaction of Legal Systems”. </w:t>
      </w:r>
      <w:r w:rsidRPr="002F1C58">
        <w:rPr>
          <w:rFonts w:ascii="Times New Roman" w:hAnsi="Times New Roman" w:cs="Times New Roman"/>
          <w:i/>
          <w:sz w:val="24"/>
          <w:szCs w:val="24"/>
          <w:vertAlign w:val="superscript"/>
        </w:rPr>
        <w:t>The American Journal of International Law, Vol. 104, No. 1</w:t>
      </w:r>
      <w:r w:rsidRPr="002F1C58">
        <w:rPr>
          <w:rFonts w:ascii="Times New Roman" w:hAnsi="Times New Roman" w:cs="Times New Roman"/>
          <w:sz w:val="24"/>
          <w:szCs w:val="24"/>
          <w:vertAlign w:val="superscript"/>
        </w:rPr>
        <w:t xml:space="preserve"> (January 2010), P. 30</w:t>
      </w:r>
    </w:p>
  </w:footnote>
  <w:footnote w:id="39">
    <w:p w:rsidR="00111E65" w:rsidRPr="002F1C58" w:rsidRDefault="00111E65" w:rsidP="008D7727">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below n. 40 (Roy) </w:t>
      </w:r>
    </w:p>
  </w:footnote>
  <w:footnote w:id="40">
    <w:p w:rsidR="00111E65" w:rsidRPr="002F1C58" w:rsidRDefault="00111E65" w:rsidP="00771C2D">
      <w:pPr>
        <w:pStyle w:val="NoSpacing"/>
        <w:rPr>
          <w:rFonts w:ascii="Times New Roman" w:eastAsia="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James C. Scott, “</w:t>
      </w:r>
      <w:r w:rsidRPr="002F1C58">
        <w:rPr>
          <w:rFonts w:ascii="Times New Roman" w:eastAsia="Times New Roman" w:hAnsi="Times New Roman" w:cs="Times New Roman"/>
          <w:sz w:val="24"/>
          <w:szCs w:val="24"/>
          <w:vertAlign w:val="superscript"/>
        </w:rPr>
        <w:t>Seeing Like a State: How Certain Schemes to Improve the Human Condition Have Failed</w:t>
      </w:r>
      <w:r w:rsidRPr="002F1C58">
        <w:rPr>
          <w:rFonts w:ascii="Times New Roman" w:eastAsia="Times New Roman" w:hAnsi="Times New Roman" w:cs="Times New Roman"/>
          <w:bCs/>
          <w:sz w:val="24"/>
          <w:szCs w:val="24"/>
          <w:vertAlign w:val="superscript"/>
        </w:rPr>
        <w:t xml:space="preserve">”, (1998) Yale University Press. P.4 </w:t>
      </w:r>
    </w:p>
  </w:footnote>
  <w:footnote w:id="41">
    <w:p w:rsidR="00111E65" w:rsidRPr="002F1C58" w:rsidRDefault="00111E65" w:rsidP="00771C2D">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Loosely translates as “oneness”  </w:t>
      </w:r>
    </w:p>
  </w:footnote>
  <w:footnote w:id="42">
    <w:p w:rsidR="00111E65" w:rsidRPr="002F1C58" w:rsidRDefault="00111E65" w:rsidP="008C2A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 Human Rights Watch </w:t>
      </w:r>
      <w:r w:rsidRPr="002F1C58">
        <w:rPr>
          <w:rFonts w:ascii="Times New Roman" w:hAnsi="Times New Roman" w:cs="Times New Roman"/>
          <w:i/>
          <w:sz w:val="24"/>
          <w:szCs w:val="24"/>
          <w:vertAlign w:val="superscript"/>
        </w:rPr>
        <w:t>“Waiting Here for Death</w:t>
      </w:r>
      <w:r w:rsidRPr="002F1C58">
        <w:rPr>
          <w:rFonts w:ascii="Times New Roman" w:hAnsi="Times New Roman" w:cs="Times New Roman"/>
          <w:sz w:val="24"/>
          <w:szCs w:val="24"/>
          <w:vertAlign w:val="superscript"/>
        </w:rPr>
        <w:t xml:space="preserve">” (12th January 2012) Available at: http://www.hrw.org/fr/node/104305 -Accessed 27/09/2104 </w:t>
      </w:r>
    </w:p>
  </w:footnote>
  <w:footnote w:id="43">
    <w:p w:rsidR="00111E65" w:rsidRPr="002F1C58" w:rsidRDefault="00111E65" w:rsidP="008C2A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Arundhati Roy, </w:t>
      </w:r>
      <w:r w:rsidRPr="002F1C58">
        <w:rPr>
          <w:rFonts w:ascii="Times New Roman" w:hAnsi="Times New Roman" w:cs="Times New Roman"/>
          <w:i/>
          <w:sz w:val="24"/>
          <w:szCs w:val="24"/>
          <w:vertAlign w:val="superscript"/>
        </w:rPr>
        <w:t>“The Greater Common Good”</w:t>
      </w:r>
      <w:r w:rsidRPr="002F1C58">
        <w:rPr>
          <w:rFonts w:ascii="Times New Roman" w:hAnsi="Times New Roman" w:cs="Times New Roman"/>
          <w:sz w:val="24"/>
          <w:szCs w:val="24"/>
          <w:vertAlign w:val="superscript"/>
        </w:rPr>
        <w:t xml:space="preserve"> (1999) Available at: http://www.narmada.org/gcg/gcg.html-Accessed 27/09/2104  </w:t>
      </w:r>
    </w:p>
  </w:footnote>
  <w:footnote w:id="44">
    <w:p w:rsidR="00111E65" w:rsidRPr="002F1C58" w:rsidRDefault="00111E65" w:rsidP="008C2A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i/>
          <w:sz w:val="24"/>
          <w:szCs w:val="24"/>
          <w:vertAlign w:val="superscript"/>
        </w:rPr>
        <w:t xml:space="preserve"> Ibid</w:t>
      </w:r>
      <w:r w:rsidRPr="002F1C58">
        <w:rPr>
          <w:rFonts w:ascii="Times New Roman" w:hAnsi="Times New Roman" w:cs="Times New Roman"/>
          <w:sz w:val="24"/>
          <w:szCs w:val="24"/>
          <w:vertAlign w:val="superscript"/>
        </w:rPr>
        <w:t xml:space="preserve">  </w:t>
      </w:r>
    </w:p>
  </w:footnote>
  <w:footnote w:id="45">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Former </w:t>
      </w:r>
      <w:r w:rsidRPr="002F1C58">
        <w:rPr>
          <w:rFonts w:ascii="Times New Roman" w:eastAsia="Times New Roman" w:hAnsi="Times New Roman" w:cs="Times New Roman"/>
          <w:bCs/>
          <w:color w:val="000000"/>
          <w:sz w:val="24"/>
          <w:szCs w:val="24"/>
          <w:vertAlign w:val="superscript"/>
        </w:rPr>
        <w:t xml:space="preserve">UN </w:t>
      </w:r>
      <w:r w:rsidRPr="002F1C58">
        <w:rPr>
          <w:rFonts w:ascii="Times New Roman" w:hAnsi="Times New Roman" w:cs="Times New Roman"/>
          <w:sz w:val="24"/>
          <w:szCs w:val="24"/>
          <w:vertAlign w:val="superscript"/>
        </w:rPr>
        <w:t xml:space="preserve">Special Rapporteur of the Sub-Commission on Prevention of Discrimination and Protection of Minorities. </w:t>
      </w:r>
    </w:p>
  </w:footnote>
  <w:footnote w:id="46">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 xml:space="preserve">from Cobo’s ground breaking 1986 study,  UN Doc. E/CN.4/Sub.2/1986/7 and Add.1-4;  See also for example the World Bank’s influential operational manual, operational policy 4.10: </w:t>
      </w:r>
      <w:r w:rsidRPr="002F1C58">
        <w:rPr>
          <w:rFonts w:ascii="Times New Roman" w:hAnsi="Times New Roman" w:cs="Times New Roman"/>
          <w:color w:val="000000"/>
          <w:sz w:val="24"/>
          <w:szCs w:val="24"/>
          <w:shd w:val="clear" w:color="auto" w:fill="FFFFFF"/>
          <w:vertAlign w:val="superscript"/>
        </w:rPr>
        <w:t> </w:t>
      </w:r>
      <w:r w:rsidRPr="002F1C58">
        <w:rPr>
          <w:rFonts w:ascii="Times New Roman" w:hAnsi="Times New Roman" w:cs="Times New Roman"/>
          <w:i/>
          <w:color w:val="000000"/>
          <w:sz w:val="24"/>
          <w:szCs w:val="24"/>
          <w:shd w:val="clear" w:color="auto" w:fill="FFFFFF"/>
          <w:vertAlign w:val="superscript"/>
        </w:rPr>
        <w:t>“</w:t>
      </w:r>
      <w:r w:rsidRPr="002F1C58">
        <w:rPr>
          <w:rStyle w:val="apple-converted-space"/>
          <w:rFonts w:ascii="Times New Roman" w:hAnsi="Times New Roman" w:cs="Times New Roman"/>
          <w:i/>
          <w:color w:val="000000"/>
          <w:sz w:val="24"/>
          <w:szCs w:val="24"/>
          <w:shd w:val="clear" w:color="auto" w:fill="FFFFFF"/>
          <w:vertAlign w:val="superscript"/>
        </w:rPr>
        <w:t>Because</w:t>
      </w:r>
      <w:r w:rsidRPr="002F1C58">
        <w:rPr>
          <w:rFonts w:ascii="Times New Roman" w:hAnsi="Times New Roman" w:cs="Times New Roman"/>
          <w:i/>
          <w:color w:val="000000"/>
          <w:sz w:val="24"/>
          <w:szCs w:val="24"/>
          <w:shd w:val="clear" w:color="auto" w:fill="FFFFFF"/>
          <w:vertAlign w:val="superscript"/>
        </w:rPr>
        <w:t xml:space="preserve"> of the varied and changing contexts in which Indigenous Peoples live and because there is no universally accepted definition of “Indigenous Peoples,” this policy does not define the term. Indigenous Peoples may be referred to in different countries by such terms as "indigenous ethnic minorities," "aboriginals," "hill tribes," "minority nationalities," "scheduled tribes," or "tribal groups." </w:t>
      </w:r>
      <w:r w:rsidRPr="002F1C58">
        <w:rPr>
          <w:rFonts w:ascii="Times New Roman" w:hAnsi="Times New Roman" w:cs="Times New Roman"/>
          <w:color w:val="000000"/>
          <w:sz w:val="24"/>
          <w:szCs w:val="24"/>
          <w:shd w:val="clear" w:color="auto" w:fill="FFFFFF"/>
          <w:vertAlign w:val="superscript"/>
        </w:rPr>
        <w:t xml:space="preserve"> Available at: </w:t>
      </w:r>
      <w:r w:rsidRPr="002F1C58">
        <w:rPr>
          <w:rFonts w:ascii="Times New Roman" w:hAnsi="Times New Roman" w:cs="Times New Roman"/>
          <w:sz w:val="24"/>
          <w:szCs w:val="24"/>
          <w:vertAlign w:val="superscript"/>
        </w:rPr>
        <w:t xml:space="preserve">http://web.worldbank.org/WBSITE/EXTERNAL/PROJECTS/EXTPOLICIES/EXTOPMANUAL/0, -Accessed 22/07/2014 </w:t>
      </w:r>
    </w:p>
  </w:footnote>
  <w:footnote w:id="47">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2005 report of the African Commission’s Working Group of Experts on Indigenous Populations/Communities Submitted in accordance with the “Resolution on the Rights of Indigenous Populations/Communities in Africa” Adopted by The African Commission on Human and Peoples’ Rights at its 28th ordinary session, at P.89 </w:t>
      </w:r>
    </w:p>
  </w:footnote>
  <w:footnote w:id="48">
    <w:p w:rsidR="00111E65" w:rsidRPr="002F1C58" w:rsidRDefault="00111E65" w:rsidP="00145EA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w:t>
      </w:r>
      <w:r w:rsidRPr="002F1C58">
        <w:rPr>
          <w:rFonts w:ascii="Times New Roman" w:hAnsi="Times New Roman" w:cs="Times New Roman"/>
          <w:i/>
          <w:sz w:val="24"/>
          <w:szCs w:val="24"/>
          <w:vertAlign w:val="superscript"/>
        </w:rPr>
        <w:t xml:space="preserve">bid </w:t>
      </w:r>
      <w:r w:rsidRPr="002F1C58">
        <w:rPr>
          <w:rFonts w:ascii="Times New Roman" w:hAnsi="Times New Roman" w:cs="Times New Roman"/>
          <w:sz w:val="24"/>
          <w:szCs w:val="24"/>
          <w:vertAlign w:val="superscript"/>
        </w:rPr>
        <w:t xml:space="preserve">at P. 92 </w:t>
      </w:r>
    </w:p>
  </w:footnote>
  <w:footnote w:id="49">
    <w:p w:rsidR="00111E65" w:rsidRPr="002F1C58" w:rsidRDefault="00111E65" w:rsidP="00145EA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E/2007/43 and E/C.19/2007/12, Para. 5 </w:t>
      </w:r>
    </w:p>
  </w:footnote>
  <w:footnote w:id="50">
    <w:p w:rsidR="00111E65" w:rsidRPr="002F1C58" w:rsidRDefault="00111E65" w:rsidP="00145EA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Supra n. 15  </w:t>
      </w:r>
    </w:p>
  </w:footnote>
  <w:footnote w:id="51">
    <w:p w:rsidR="00111E65" w:rsidRPr="002F1C58" w:rsidRDefault="00111E65" w:rsidP="00784DC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w:t>
      </w:r>
      <w:r w:rsidRPr="002F1C58">
        <w:rPr>
          <w:rFonts w:ascii="Times New Roman" w:hAnsi="Times New Roman" w:cs="Times New Roman"/>
          <w:i/>
          <w:sz w:val="24"/>
          <w:szCs w:val="24"/>
          <w:vertAlign w:val="superscript"/>
        </w:rPr>
        <w:t>The content of the Declaration: Lands, territories and resources; development with identity; and redress and compensation</w:t>
      </w:r>
      <w:r w:rsidRPr="002F1C58">
        <w:rPr>
          <w:rFonts w:ascii="Times New Roman" w:hAnsi="Times New Roman" w:cs="Times New Roman"/>
          <w:sz w:val="24"/>
          <w:szCs w:val="24"/>
          <w:vertAlign w:val="superscript"/>
        </w:rPr>
        <w:t>”, Ch 4, in, The United Nations Declaration on the Rights of Indigenous Peoples: A Manual for National Human Rights Institutions, 2014;</w:t>
      </w:r>
      <w:r w:rsidRPr="002F1C58">
        <w:rPr>
          <w:rStyle w:val="HTMLCite"/>
          <w:rFonts w:ascii="Times New Roman" w:hAnsi="Times New Roman" w:cs="Times New Roman"/>
          <w:i w:val="0"/>
          <w:iCs w:val="0"/>
          <w:sz w:val="24"/>
          <w:szCs w:val="24"/>
          <w:vertAlign w:val="superscript"/>
        </w:rPr>
        <w:t xml:space="preserve"> and more generally, </w:t>
      </w:r>
      <w:r w:rsidRPr="002F1C58">
        <w:rPr>
          <w:rFonts w:ascii="Times New Roman" w:hAnsi="Times New Roman" w:cs="Times New Roman"/>
          <w:i/>
          <w:iCs/>
          <w:sz w:val="24"/>
          <w:szCs w:val="24"/>
          <w:vertAlign w:val="superscript"/>
        </w:rPr>
        <w:t>Indigenous people and their relationship to land</w:t>
      </w:r>
      <w:r w:rsidRPr="002F1C58">
        <w:rPr>
          <w:rFonts w:ascii="Times New Roman" w:hAnsi="Times New Roman" w:cs="Times New Roman"/>
          <w:sz w:val="24"/>
          <w:szCs w:val="24"/>
          <w:vertAlign w:val="superscript"/>
        </w:rPr>
        <w:t>. Final working paper prepared by Erica-Irene A. Daes, Special Rapporteur. UN Doc. E/CN.4/Sub.2/2001/21. (2001)</w:t>
      </w:r>
      <w:r w:rsidRPr="002F1C58">
        <w:rPr>
          <w:rStyle w:val="HTMLCite"/>
          <w:rFonts w:ascii="Times New Roman" w:hAnsi="Times New Roman" w:cs="Times New Roman"/>
          <w:i w:val="0"/>
          <w:sz w:val="24"/>
          <w:szCs w:val="24"/>
          <w:vertAlign w:val="superscript"/>
        </w:rPr>
        <w:t xml:space="preserve"> </w:t>
      </w:r>
      <w:r w:rsidRPr="002F1C58">
        <w:rPr>
          <w:rFonts w:ascii="Times New Roman" w:hAnsi="Times New Roman" w:cs="Times New Roman"/>
          <w:sz w:val="24"/>
          <w:szCs w:val="24"/>
          <w:vertAlign w:val="superscript"/>
        </w:rPr>
        <w:t xml:space="preserve">    </w:t>
      </w:r>
    </w:p>
  </w:footnote>
  <w:footnote w:id="52">
    <w:p w:rsidR="00111E65" w:rsidRPr="002F1C58" w:rsidRDefault="00111E65" w:rsidP="00784DC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for discussion on the social, cultural, and environmental practices unique to Tibetan nomadic pastoralists:  </w:t>
      </w:r>
      <w:r w:rsidRPr="002F1C58">
        <w:rPr>
          <w:rFonts w:ascii="Times New Roman" w:hAnsi="Times New Roman" w:cs="Times New Roman"/>
          <w:bCs/>
          <w:sz w:val="24"/>
          <w:szCs w:val="24"/>
          <w:vertAlign w:val="superscript"/>
        </w:rPr>
        <w:t>Melvyn Goldstein et al, “</w:t>
      </w:r>
      <w:hyperlink r:id="rId1" w:history="1">
        <w:r w:rsidRPr="002F1C58">
          <w:rPr>
            <w:rFonts w:ascii="Times New Roman" w:hAnsi="Times New Roman" w:cs="Times New Roman"/>
            <w:sz w:val="24"/>
            <w:szCs w:val="24"/>
            <w:vertAlign w:val="superscript"/>
          </w:rPr>
          <w:t>Traditional Nomadic Pastoralism and Ecological Conservation on Tibet's Northern Plateau</w:t>
        </w:r>
      </w:hyperlink>
      <w:r w:rsidRPr="002F1C58">
        <w:rPr>
          <w:rFonts w:ascii="Times New Roman" w:hAnsi="Times New Roman" w:cs="Times New Roman"/>
          <w:sz w:val="24"/>
          <w:szCs w:val="24"/>
          <w:vertAlign w:val="superscript"/>
        </w:rPr>
        <w:t xml:space="preserve">” </w:t>
      </w:r>
      <w:r w:rsidRPr="002F1C58">
        <w:rPr>
          <w:rFonts w:ascii="Times New Roman" w:hAnsi="Times New Roman" w:cs="Times New Roman"/>
          <w:bCs/>
          <w:sz w:val="24"/>
          <w:szCs w:val="24"/>
          <w:vertAlign w:val="superscript"/>
        </w:rPr>
        <w:t>(</w:t>
      </w:r>
      <w:r w:rsidRPr="002F1C58">
        <w:rPr>
          <w:rFonts w:ascii="Times New Roman" w:hAnsi="Times New Roman" w:cs="Times New Roman"/>
          <w:sz w:val="24"/>
          <w:szCs w:val="24"/>
          <w:vertAlign w:val="superscript"/>
        </w:rPr>
        <w:t xml:space="preserve">1990).  </w:t>
      </w:r>
      <w:r w:rsidRPr="002F1C58">
        <w:rPr>
          <w:rFonts w:ascii="Times New Roman" w:hAnsi="Times New Roman" w:cs="Times New Roman"/>
          <w:i/>
          <w:sz w:val="24"/>
          <w:szCs w:val="24"/>
          <w:vertAlign w:val="superscript"/>
        </w:rPr>
        <w:t>National Geographic Research. 6(2): 139-156</w:t>
      </w:r>
      <w:r w:rsidRPr="002F1C58">
        <w:rPr>
          <w:rFonts w:ascii="Times New Roman" w:hAnsi="Times New Roman" w:cs="Times New Roman"/>
          <w:sz w:val="24"/>
          <w:szCs w:val="24"/>
          <w:vertAlign w:val="superscript"/>
        </w:rPr>
        <w:t xml:space="preserve">, Available at: www.case.edu/affil/tibet/booksAndPapers/pastoralism.html-accessed 18/09/2014; </w:t>
      </w:r>
      <w:r w:rsidRPr="002F1C58">
        <w:rPr>
          <w:rFonts w:ascii="Times New Roman" w:eastAsia="Times New Roman" w:hAnsi="Times New Roman" w:cs="Times New Roman"/>
          <w:sz w:val="24"/>
          <w:szCs w:val="24"/>
          <w:vertAlign w:val="superscript"/>
        </w:rPr>
        <w:t>Miller, Daniel J. 2000.</w:t>
      </w:r>
      <w:r w:rsidRPr="002F1C58">
        <w:rPr>
          <w:rFonts w:ascii="Times New Roman" w:hAnsi="Times New Roman" w:cs="Times New Roman"/>
          <w:sz w:val="24"/>
          <w:szCs w:val="24"/>
          <w:vertAlign w:val="superscript"/>
        </w:rPr>
        <w:t xml:space="preserve"> “Nomadic Peoples”, </w:t>
      </w:r>
      <w:r w:rsidRPr="002F1C58">
        <w:rPr>
          <w:rFonts w:ascii="Times New Roman" w:hAnsi="Times New Roman" w:cs="Times New Roman"/>
          <w:i/>
          <w:sz w:val="24"/>
          <w:szCs w:val="24"/>
          <w:vertAlign w:val="superscript"/>
        </w:rPr>
        <w:t>NS Volume 4, Issue 1</w:t>
      </w:r>
      <w:r w:rsidRPr="002F1C58">
        <w:rPr>
          <w:rFonts w:ascii="Times New Roman" w:hAnsi="Times New Roman" w:cs="Times New Roman"/>
          <w:sz w:val="24"/>
          <w:szCs w:val="24"/>
          <w:vertAlign w:val="superscript"/>
        </w:rPr>
        <w:t xml:space="preserve"> Available at: cwru.edu/affil/tibet/booksAndPapers/plateauhard.htm-Accessed 17/09/2014; Isom, J. (2009) </w:t>
      </w:r>
      <w:r w:rsidRPr="002F1C58">
        <w:rPr>
          <w:rFonts w:ascii="Times New Roman" w:hAnsi="Times New Roman" w:cs="Times New Roman"/>
          <w:color w:val="000000"/>
          <w:sz w:val="24"/>
          <w:szCs w:val="24"/>
          <w:vertAlign w:val="superscript"/>
        </w:rPr>
        <w:t>Tibet’s nomadic Pastoralists. Tradition, Transformation and Prospects,</w:t>
      </w:r>
      <w:r w:rsidRPr="002F1C58">
        <w:rPr>
          <w:rFonts w:ascii="Times New Roman" w:hAnsi="Times New Roman" w:cs="Times New Roman"/>
          <w:iCs/>
          <w:sz w:val="24"/>
          <w:szCs w:val="24"/>
          <w:vertAlign w:val="superscript"/>
        </w:rPr>
        <w:t xml:space="preserve"> </w:t>
      </w:r>
      <w:r w:rsidRPr="002F1C58">
        <w:rPr>
          <w:rFonts w:ascii="Times New Roman" w:hAnsi="Times New Roman" w:cs="Times New Roman"/>
          <w:i/>
          <w:iCs/>
          <w:sz w:val="24"/>
          <w:szCs w:val="24"/>
          <w:vertAlign w:val="superscript"/>
        </w:rPr>
        <w:t>Indigenous Affairs 3-4</w:t>
      </w:r>
      <w:r w:rsidRPr="002F1C58">
        <w:rPr>
          <w:rFonts w:ascii="Times New Roman" w:hAnsi="Times New Roman" w:cs="Times New Roman"/>
          <w:iCs/>
          <w:sz w:val="24"/>
          <w:szCs w:val="24"/>
          <w:vertAlign w:val="superscript"/>
        </w:rPr>
        <w:t xml:space="preserve">, Available at: http://www.iwgia.org/publications/search-pubs?publication_id=3-Accessed 09/09/2014 </w:t>
      </w:r>
    </w:p>
  </w:footnote>
  <w:footnote w:id="53">
    <w:p w:rsidR="00111E65" w:rsidRPr="002F1C58" w:rsidRDefault="00111E65" w:rsidP="00784DC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For further discussion on nomadic peoples as a sub-category of indigenous peoples who suffer from particular problems as a result of their mobile lifestyles, for example in their dealings with states whose ultimate aim is to sedenatarise nomad populations see O.P. Goyal, “</w:t>
      </w:r>
      <w:r w:rsidRPr="002F1C58">
        <w:rPr>
          <w:rFonts w:ascii="Times New Roman" w:hAnsi="Times New Roman" w:cs="Times New Roman"/>
          <w:i/>
          <w:sz w:val="24"/>
          <w:szCs w:val="24"/>
          <w:vertAlign w:val="superscript"/>
        </w:rPr>
        <w:t>Nomads at the Crossroads</w:t>
      </w:r>
      <w:r w:rsidRPr="002F1C58">
        <w:rPr>
          <w:rFonts w:ascii="Times New Roman" w:hAnsi="Times New Roman" w:cs="Times New Roman"/>
          <w:sz w:val="24"/>
          <w:szCs w:val="24"/>
          <w:vertAlign w:val="superscript"/>
        </w:rPr>
        <w:t>”, (2005) Isha Books. Pp.22-32</w:t>
      </w:r>
      <w:r w:rsidRPr="002F1C58">
        <w:rPr>
          <w:rFonts w:ascii="Times New Roman" w:hAnsi="Times New Roman" w:cs="Times New Roman"/>
          <w:b/>
          <w:sz w:val="24"/>
          <w:szCs w:val="24"/>
          <w:vertAlign w:val="superscript"/>
        </w:rPr>
        <w:t xml:space="preserve">       </w:t>
      </w:r>
    </w:p>
  </w:footnote>
  <w:footnote w:id="54">
    <w:p w:rsidR="00111E65" w:rsidRPr="002F1C58" w:rsidRDefault="00111E65" w:rsidP="00784DC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Jeremie Gilbert, “Human Rights Approach to Nomadic Peoples’ Land Rights”, </w:t>
      </w:r>
      <w:r w:rsidRPr="002F1C58">
        <w:rPr>
          <w:rFonts w:ascii="Times New Roman" w:hAnsi="Times New Roman" w:cs="Times New Roman"/>
          <w:i/>
          <w:sz w:val="24"/>
          <w:szCs w:val="24"/>
          <w:vertAlign w:val="superscript"/>
        </w:rPr>
        <w:t>HRLR 7 (2007), 681-716</w:t>
      </w:r>
      <w:r w:rsidRPr="002F1C58">
        <w:rPr>
          <w:rFonts w:ascii="Times New Roman" w:hAnsi="Times New Roman" w:cs="Times New Roman"/>
          <w:sz w:val="24"/>
          <w:szCs w:val="24"/>
          <w:vertAlign w:val="superscript"/>
        </w:rPr>
        <w:t xml:space="preserve"> P.683 at footnote 10 </w:t>
      </w:r>
    </w:p>
  </w:footnote>
  <w:footnote w:id="55">
    <w:p w:rsidR="00111E65" w:rsidRPr="002F1C58" w:rsidRDefault="00111E65" w:rsidP="005C4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For a more detailed discussion on the is point see below see chapter three </w:t>
      </w:r>
    </w:p>
  </w:footnote>
  <w:footnote w:id="56">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Term taken from “</w:t>
      </w:r>
      <w:r w:rsidRPr="002F1C58">
        <w:rPr>
          <w:rFonts w:ascii="Times New Roman" w:hAnsi="Times New Roman" w:cs="Times New Roman"/>
          <w:i/>
          <w:sz w:val="24"/>
          <w:szCs w:val="24"/>
          <w:vertAlign w:val="superscript"/>
        </w:rPr>
        <w:t>The Development Imperative: Toward a People-Centred Approach</w:t>
      </w:r>
      <w:r w:rsidRPr="002F1C58">
        <w:rPr>
          <w:rFonts w:ascii="Times New Roman" w:hAnsi="Times New Roman" w:cs="Times New Roman"/>
          <w:sz w:val="24"/>
          <w:szCs w:val="24"/>
          <w:vertAlign w:val="superscript"/>
        </w:rPr>
        <w:t xml:space="preserve">”, (2005) (eds) Eric Hershberg and Christy Thornton , Social Science Research Council   </w:t>
      </w:r>
    </w:p>
  </w:footnote>
  <w:footnote w:id="57">
    <w:p w:rsidR="00111E65" w:rsidRPr="002F1C58" w:rsidRDefault="00111E65" w:rsidP="005C4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Amartya Sen, “</w:t>
      </w:r>
      <w:r w:rsidRPr="002F1C58">
        <w:rPr>
          <w:rFonts w:ascii="Times New Roman" w:hAnsi="Times New Roman" w:cs="Times New Roman"/>
          <w:i/>
          <w:sz w:val="24"/>
          <w:szCs w:val="24"/>
          <w:vertAlign w:val="superscript"/>
        </w:rPr>
        <w:t>Development as Freedom”</w:t>
      </w:r>
      <w:r w:rsidRPr="002F1C58">
        <w:rPr>
          <w:rFonts w:ascii="Times New Roman" w:hAnsi="Times New Roman" w:cs="Times New Roman"/>
          <w:sz w:val="24"/>
          <w:szCs w:val="24"/>
          <w:vertAlign w:val="superscript"/>
        </w:rPr>
        <w:t xml:space="preserve"> (1999) Oxford University Press, Oxford P. 36</w:t>
      </w:r>
    </w:p>
  </w:footnote>
  <w:footnote w:id="58">
    <w:p w:rsidR="00111E65" w:rsidRPr="002F1C58" w:rsidRDefault="00111E65" w:rsidP="005C4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for further discussion on the role of the World Bank and economic globalisation, including the role of property rights and the role of law to “provide a stable investment environment and the predictability necessary for markets to operate”, Tor Krever, “The Legal Turn in Late Development Theory: The Rule of Law and the World Bank's Development Model” (2011</w:t>
      </w:r>
      <w:r w:rsidRPr="002F1C58">
        <w:rPr>
          <w:rFonts w:ascii="Times New Roman" w:hAnsi="Times New Roman" w:cs="Times New Roman"/>
          <w:i/>
          <w:sz w:val="24"/>
          <w:szCs w:val="24"/>
          <w:vertAlign w:val="superscript"/>
        </w:rPr>
        <w:t xml:space="preserve">) 52 Harv. Int'l L.J. 287 </w:t>
      </w:r>
      <w:r w:rsidRPr="002F1C58">
        <w:rPr>
          <w:rFonts w:ascii="Times New Roman" w:hAnsi="Times New Roman" w:cs="Times New Roman"/>
          <w:sz w:val="24"/>
          <w:szCs w:val="24"/>
          <w:vertAlign w:val="superscript"/>
        </w:rPr>
        <w:t xml:space="preserve">Pp. 311-315 </w:t>
      </w:r>
    </w:p>
  </w:footnote>
  <w:footnote w:id="59">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for contextual  background, Anthony Clunies-Ross et al, </w:t>
      </w:r>
      <w:r w:rsidRPr="002F1C58">
        <w:rPr>
          <w:rFonts w:ascii="Times New Roman" w:hAnsi="Times New Roman" w:cs="Times New Roman"/>
          <w:i/>
          <w:sz w:val="24"/>
          <w:szCs w:val="24"/>
          <w:vertAlign w:val="superscript"/>
        </w:rPr>
        <w:t>“Development Economics”,</w:t>
      </w:r>
      <w:r w:rsidRPr="002F1C58">
        <w:rPr>
          <w:rFonts w:ascii="Times New Roman" w:hAnsi="Times New Roman" w:cs="Times New Roman"/>
          <w:sz w:val="24"/>
          <w:szCs w:val="24"/>
          <w:vertAlign w:val="superscript"/>
        </w:rPr>
        <w:t xml:space="preserve">  (2009) McGraw-Hill Higher Education, Pp. 202-215; For a brief discussion on the modern ascent of economic globalisation since the 1980s and 1990s see, Colin Crouch, “</w:t>
      </w:r>
      <w:r w:rsidRPr="002F1C58">
        <w:rPr>
          <w:rFonts w:ascii="Times New Roman" w:hAnsi="Times New Roman" w:cs="Times New Roman"/>
          <w:i/>
          <w:sz w:val="24"/>
          <w:szCs w:val="24"/>
          <w:vertAlign w:val="superscript"/>
        </w:rPr>
        <w:t>The Strange Non-death of Neoliberalism”,</w:t>
      </w:r>
      <w:r w:rsidRPr="002F1C58">
        <w:rPr>
          <w:rFonts w:ascii="Times New Roman" w:hAnsi="Times New Roman" w:cs="Times New Roman"/>
          <w:sz w:val="24"/>
          <w:szCs w:val="24"/>
          <w:vertAlign w:val="superscript"/>
        </w:rPr>
        <w:t xml:space="preserve"> (2011) Polity Press, Cambridge UK, Pp. 111-114; and for a discussion on the “Washington Consensus” and the beginnings of  neoliberalism globalisation encompassing policy reforms such as fiscal discipline, reducing public expenditure, privatisation, and trade liberalisation etc.  See, Richard Peet and Elaine Hartwick</w:t>
      </w:r>
      <w:r w:rsidRPr="002F1C58">
        <w:rPr>
          <w:rFonts w:ascii="Times New Roman" w:hAnsi="Times New Roman" w:cs="Times New Roman"/>
          <w:i/>
          <w:sz w:val="24"/>
          <w:szCs w:val="24"/>
          <w:vertAlign w:val="superscript"/>
        </w:rPr>
        <w:t>, “Theories of Development</w:t>
      </w:r>
      <w:r w:rsidRPr="002F1C58">
        <w:rPr>
          <w:rFonts w:ascii="Times New Roman" w:hAnsi="Times New Roman" w:cs="Times New Roman"/>
          <w:sz w:val="24"/>
          <w:szCs w:val="24"/>
          <w:vertAlign w:val="superscript"/>
        </w:rPr>
        <w:t xml:space="preserve">”, (2009) Guildford Press, New York, Pp. 84-94 </w:t>
      </w:r>
    </w:p>
  </w:footnote>
  <w:footnote w:id="60">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Richard Falk, “</w:t>
      </w:r>
      <w:r w:rsidRPr="002F1C58">
        <w:rPr>
          <w:rFonts w:ascii="Times New Roman" w:hAnsi="Times New Roman" w:cs="Times New Roman"/>
          <w:i/>
          <w:sz w:val="24"/>
          <w:szCs w:val="24"/>
          <w:vertAlign w:val="superscript"/>
        </w:rPr>
        <w:t>Human Rights Horizons: Pursuit of Justice in a Globalising World</w:t>
      </w:r>
      <w:r w:rsidRPr="002F1C58">
        <w:rPr>
          <w:rFonts w:ascii="Times New Roman" w:hAnsi="Times New Roman" w:cs="Times New Roman"/>
          <w:sz w:val="24"/>
          <w:szCs w:val="24"/>
          <w:vertAlign w:val="superscript"/>
        </w:rPr>
        <w:t xml:space="preserve"> “(2000) Routledge, New York. See P. 21   </w:t>
      </w:r>
    </w:p>
  </w:footnote>
  <w:footnote w:id="61">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at P. 123 </w:t>
      </w:r>
    </w:p>
  </w:footnote>
  <w:footnote w:id="62">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w:t>
      </w:r>
      <w:r w:rsidRPr="002F1C58">
        <w:rPr>
          <w:rFonts w:ascii="Times New Roman" w:hAnsi="Times New Roman" w:cs="Times New Roman"/>
          <w:i/>
          <w:sz w:val="24"/>
          <w:szCs w:val="24"/>
          <w:vertAlign w:val="superscript"/>
        </w:rPr>
        <w:t>bid</w:t>
      </w:r>
      <w:r w:rsidRPr="002F1C58">
        <w:rPr>
          <w:rFonts w:ascii="Times New Roman" w:hAnsi="Times New Roman" w:cs="Times New Roman"/>
          <w:sz w:val="24"/>
          <w:szCs w:val="24"/>
          <w:vertAlign w:val="superscript"/>
        </w:rPr>
        <w:t xml:space="preserve"> At P. 142 </w:t>
      </w:r>
    </w:p>
  </w:footnote>
  <w:footnote w:id="63">
    <w:p w:rsidR="00111E65" w:rsidRPr="002F1C58" w:rsidRDefault="00111E65" w:rsidP="00AF5C77">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E/CN.4/2006/41 14 March 2006, p.4 </w:t>
      </w:r>
    </w:p>
  </w:footnote>
  <w:footnote w:id="64">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Supra </w:t>
      </w:r>
      <w:r w:rsidRPr="002F1C58">
        <w:rPr>
          <w:rFonts w:ascii="Times New Roman" w:hAnsi="Times New Roman" w:cs="Times New Roman"/>
          <w:sz w:val="24"/>
          <w:szCs w:val="24"/>
          <w:vertAlign w:val="superscript"/>
        </w:rPr>
        <w:t>N 65  (Clunies-Ross et al)</w:t>
      </w:r>
      <w:r w:rsidRPr="002F1C58">
        <w:rPr>
          <w:rFonts w:ascii="Times New Roman" w:hAnsi="Times New Roman" w:cs="Times New Roman"/>
          <w:i/>
          <w:sz w:val="24"/>
          <w:szCs w:val="24"/>
          <w:vertAlign w:val="superscript"/>
        </w:rPr>
        <w:t xml:space="preserve"> </w:t>
      </w:r>
    </w:p>
  </w:footnote>
  <w:footnote w:id="65">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Int’l Working Group for Indigenous Affairs, Strategy for the 2nd Decade on Indigenous Peoples (June 2005) </w:t>
      </w:r>
    </w:p>
  </w:footnote>
  <w:footnote w:id="66">
    <w:p w:rsidR="00111E65" w:rsidRPr="002F1C58" w:rsidRDefault="00111E65" w:rsidP="001424F3">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p>
  </w:footnote>
  <w:footnote w:id="67">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For example, “The</w:t>
      </w:r>
      <w:r w:rsidRPr="002F1C58">
        <w:rPr>
          <w:rStyle w:val="Strong"/>
          <w:rFonts w:ascii="Times New Roman" w:hAnsi="Times New Roman" w:cs="Times New Roman"/>
          <w:b w:val="0"/>
          <w:color w:val="666666"/>
          <w:sz w:val="24"/>
          <w:szCs w:val="24"/>
          <w:shd w:val="clear" w:color="auto" w:fill="FFFFFF"/>
          <w:vertAlign w:val="superscript"/>
        </w:rPr>
        <w:t xml:space="preserve"> </w:t>
      </w:r>
      <w:r w:rsidRPr="002F1C58">
        <w:rPr>
          <w:rStyle w:val="Strong"/>
          <w:rFonts w:ascii="Times New Roman" w:hAnsi="Times New Roman" w:cs="Times New Roman"/>
          <w:b w:val="0"/>
          <w:sz w:val="24"/>
          <w:szCs w:val="24"/>
          <w:shd w:val="clear" w:color="auto" w:fill="FFFFFF"/>
          <w:vertAlign w:val="superscript"/>
        </w:rPr>
        <w:t xml:space="preserve">Constitution of the Republic of Ecuador” Articles 56 and 57 on Indigenous rights. Available at: </w:t>
      </w:r>
      <w:r w:rsidRPr="002F1C58">
        <w:rPr>
          <w:rStyle w:val="Strong"/>
          <w:rFonts w:ascii="Times New Roman" w:hAnsi="Times New Roman" w:cs="Times New Roman"/>
          <w:b w:val="0"/>
          <w:bCs w:val="0"/>
          <w:sz w:val="24"/>
          <w:szCs w:val="24"/>
          <w:shd w:val="clear" w:color="auto" w:fill="FFFFFF"/>
          <w:vertAlign w:val="superscript"/>
        </w:rPr>
        <w:t>http://pdba.georgetown.edu/Constitutions/Ecuador/english08.html -Accessed 16/09/2014</w:t>
      </w:r>
      <w:r w:rsidRPr="002F1C58">
        <w:rPr>
          <w:rStyle w:val="Strong"/>
          <w:rFonts w:ascii="Times New Roman" w:hAnsi="Times New Roman" w:cs="Times New Roman"/>
          <w:b w:val="0"/>
          <w:sz w:val="24"/>
          <w:szCs w:val="24"/>
          <w:shd w:val="clear" w:color="auto" w:fill="FFFFFF"/>
          <w:vertAlign w:val="superscript"/>
        </w:rPr>
        <w:t xml:space="preserve">. In contrast however with the scope and content of the provisions see Chapter 3 discussion on Ecuador. </w:t>
      </w:r>
    </w:p>
  </w:footnote>
  <w:footnote w:id="68">
    <w:p w:rsidR="00111E65" w:rsidRPr="002F1C58" w:rsidRDefault="00111E65" w:rsidP="001424F3">
      <w:pPr>
        <w:pStyle w:val="NoSpacing"/>
        <w:rPr>
          <w:rFonts w:ascii="Times New Roman" w:hAnsi="Times New Roman" w:cs="Times New Roman"/>
          <w:bCs/>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Walter Kälin, “</w:t>
      </w:r>
      <w:r w:rsidRPr="002F1C58">
        <w:rPr>
          <w:rFonts w:ascii="Times New Roman" w:hAnsi="Times New Roman" w:cs="Times New Roman"/>
          <w:bCs/>
          <w:sz w:val="24"/>
          <w:szCs w:val="24"/>
          <w:vertAlign w:val="superscript"/>
        </w:rPr>
        <w:t xml:space="preserve">Guiding Principles on Internal Displacement:  Annotations.” </w:t>
      </w:r>
      <w:r w:rsidRPr="002F1C58">
        <w:rPr>
          <w:rFonts w:ascii="Times New Roman" w:hAnsi="Times New Roman" w:cs="Times New Roman"/>
          <w:i/>
          <w:sz w:val="24"/>
          <w:szCs w:val="24"/>
          <w:vertAlign w:val="superscript"/>
        </w:rPr>
        <w:t xml:space="preserve">Studies in Transnational Legal Policy, No. 32 </w:t>
      </w:r>
      <w:r w:rsidRPr="002F1C58">
        <w:rPr>
          <w:rFonts w:ascii="Times New Roman" w:hAnsi="Times New Roman" w:cs="Times New Roman"/>
          <w:sz w:val="24"/>
          <w:szCs w:val="24"/>
          <w:vertAlign w:val="superscript"/>
        </w:rPr>
        <w:t xml:space="preserve">published by The American Society of International Law and The Brookings Institution Project on Internal Displacement, 2000. At P. 17. </w:t>
      </w:r>
    </w:p>
  </w:footnote>
  <w:footnote w:id="69">
    <w:p w:rsidR="00111E65" w:rsidRPr="002F1C58" w:rsidRDefault="00111E65" w:rsidP="0060752A">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 Allen Buchanan, “The Role of Collective Rights in the Theory of Indigenous Peoples' Rights”, </w:t>
      </w:r>
      <w:r w:rsidRPr="002F1C58">
        <w:rPr>
          <w:rFonts w:ascii="Times New Roman" w:hAnsi="Times New Roman" w:cs="Times New Roman"/>
          <w:i/>
          <w:sz w:val="24"/>
          <w:szCs w:val="24"/>
          <w:vertAlign w:val="superscript"/>
        </w:rPr>
        <w:t>3 Transnat'l L. &amp; Contemp. Probs. 89 1993</w:t>
      </w:r>
    </w:p>
  </w:footnote>
  <w:footnote w:id="70">
    <w:p w:rsidR="00111E65" w:rsidRPr="002F1C58" w:rsidRDefault="00111E65" w:rsidP="00312C7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 xml:space="preserve">at P. 95 </w:t>
      </w:r>
    </w:p>
  </w:footnote>
  <w:footnote w:id="71">
    <w:p w:rsidR="00111E65" w:rsidRPr="002F1C58" w:rsidRDefault="00111E65" w:rsidP="00312C7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In this light, the use of the term indigenous peoples in the second paragraph of the preamble of the UNDRIP can be seen as much as a statement of intent as it is an affirmation of indigenous peoples equality with all other peoples.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n.15</w:t>
      </w:r>
    </w:p>
  </w:footnote>
  <w:footnote w:id="72">
    <w:p w:rsidR="00111E65" w:rsidRPr="002F1C58" w:rsidRDefault="00111E65" w:rsidP="00312C7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supra n. 17 </w:t>
      </w:r>
    </w:p>
  </w:footnote>
  <w:footnote w:id="73">
    <w:p w:rsidR="00111E65" w:rsidRPr="002F1C58" w:rsidRDefault="00111E65" w:rsidP="00E0181B">
      <w:pPr>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A/HRC/EMRIP/2012/3, at Paras. 53-54.; for further discussion on these points see, Cernic</w:t>
      </w:r>
      <w:r w:rsidRPr="002F1C58">
        <w:rPr>
          <w:rFonts w:ascii="Times New Roman" w:hAnsi="Times New Roman" w:cs="Times New Roman"/>
          <w:sz w:val="24"/>
          <w:szCs w:val="24"/>
          <w:shd w:val="clear" w:color="auto" w:fill="FFFFFF"/>
          <w:vertAlign w:val="superscript"/>
        </w:rPr>
        <w:t xml:space="preserve">, Jernej Letnar. "State Obligations Concerning Indigenous Peoples' Rights to Their Ancestral Lands: Lex Imperfecta?" (2013) </w:t>
      </w:r>
      <w:r w:rsidRPr="002F1C58">
        <w:rPr>
          <w:rFonts w:ascii="Times New Roman" w:hAnsi="Times New Roman" w:cs="Times New Roman"/>
          <w:i/>
          <w:sz w:val="24"/>
          <w:szCs w:val="24"/>
          <w:shd w:val="clear" w:color="auto" w:fill="FFFFFF"/>
          <w:vertAlign w:val="superscript"/>
        </w:rPr>
        <w:t>American University International Law Review 28 no. 4</w:t>
      </w:r>
      <w:r w:rsidRPr="002F1C58">
        <w:rPr>
          <w:rFonts w:ascii="Times New Roman" w:hAnsi="Times New Roman" w:cs="Times New Roman"/>
          <w:sz w:val="24"/>
          <w:szCs w:val="24"/>
          <w:shd w:val="clear" w:color="auto" w:fill="FFFFFF"/>
          <w:vertAlign w:val="superscript"/>
        </w:rPr>
        <w:t>: 1129-1171.</w:t>
      </w:r>
    </w:p>
  </w:footnote>
  <w:footnote w:id="74">
    <w:p w:rsidR="00111E65" w:rsidRPr="002F1C58" w:rsidRDefault="00111E65" w:rsidP="00965FA4">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footnoteRef/>
      </w:r>
      <w:r w:rsidRPr="002F1C58">
        <w:rPr>
          <w:rFonts w:ascii="Times New Roman" w:hAnsi="Times New Roman" w:cs="Times New Roman"/>
          <w:sz w:val="24"/>
          <w:szCs w:val="24"/>
          <w:vertAlign w:val="superscript"/>
        </w:rPr>
        <w:t xml:space="preserve">  The Centre for Minority Rights Development (Kenya) and Minority Rights Group International on behalf of Endorois Welfare Council v Kenya, 276/2003</w:t>
      </w:r>
      <w:r w:rsidR="007D698A" w:rsidRPr="002F1C58">
        <w:rPr>
          <w:rFonts w:ascii="Times New Roman" w:hAnsi="Times New Roman" w:cs="Times New Roman"/>
          <w:sz w:val="24"/>
          <w:szCs w:val="24"/>
          <w:vertAlign w:val="superscript"/>
        </w:rPr>
        <w:fldChar w:fldCharType="begin"/>
      </w:r>
      <w:r w:rsidRPr="002F1C58">
        <w:rPr>
          <w:rFonts w:ascii="Times New Roman" w:hAnsi="Times New Roman" w:cs="Times New Roman"/>
          <w:sz w:val="24"/>
          <w:szCs w:val="24"/>
          <w:vertAlign w:val="superscript"/>
        </w:rPr>
        <w:instrText xml:space="preserve"> TA \s "The Centre for Minority Rights Development (Kenya) and Minority Rights Group International on behalf of Endorois Welfare Council v Kenya, 276/2003" </w:instrText>
      </w:r>
      <w:r w:rsidR="007D698A" w:rsidRPr="002F1C58">
        <w:rPr>
          <w:rFonts w:ascii="Times New Roman" w:hAnsi="Times New Roman" w:cs="Times New Roman"/>
          <w:sz w:val="24"/>
          <w:szCs w:val="24"/>
          <w:vertAlign w:val="superscript"/>
        </w:rPr>
        <w:fldChar w:fldCharType="end"/>
      </w:r>
      <w:r w:rsidRPr="002F1C58">
        <w:rPr>
          <w:rFonts w:ascii="Times New Roman" w:hAnsi="Times New Roman" w:cs="Times New Roman"/>
          <w:sz w:val="24"/>
          <w:szCs w:val="24"/>
          <w:vertAlign w:val="superscript"/>
        </w:rPr>
        <w:t xml:space="preserve"> </w:t>
      </w:r>
      <w:r w:rsidRPr="002F1C58">
        <w:rPr>
          <w:rFonts w:ascii="Times New Roman" w:hAnsi="Times New Roman" w:cs="Times New Roman"/>
          <w:sz w:val="24"/>
          <w:szCs w:val="24"/>
          <w:shd w:val="clear" w:color="auto" w:fill="FFFFFF"/>
          <w:vertAlign w:val="superscript"/>
        </w:rPr>
        <w:t xml:space="preserve"> </w:t>
      </w:r>
      <w:r w:rsidRPr="002F1C58">
        <w:rPr>
          <w:rFonts w:ascii="Times New Roman" w:hAnsi="Times New Roman" w:cs="Times New Roman"/>
          <w:sz w:val="24"/>
          <w:szCs w:val="24"/>
          <w:vertAlign w:val="superscript"/>
        </w:rPr>
        <w:t xml:space="preserve">(“Endorois Case”). </w:t>
      </w:r>
      <w:r w:rsidRPr="002F1C58">
        <w:rPr>
          <w:rFonts w:ascii="Times New Roman" w:hAnsi="Times New Roman" w:cs="Times New Roman"/>
          <w:sz w:val="24"/>
          <w:szCs w:val="24"/>
          <w:shd w:val="clear" w:color="auto" w:fill="FFFFFF"/>
          <w:vertAlign w:val="superscript"/>
        </w:rPr>
        <w:t xml:space="preserve">See also relevant case law from the Inter-American Court of Human Rights. </w:t>
      </w:r>
      <w:r w:rsidRPr="002F1C58">
        <w:rPr>
          <w:rFonts w:ascii="Times New Roman" w:hAnsi="Times New Roman" w:cs="Times New Roman"/>
          <w:bCs/>
          <w:i/>
          <w:color w:val="000000"/>
          <w:sz w:val="24"/>
          <w:szCs w:val="24"/>
          <w:shd w:val="clear" w:color="auto" w:fill="FFFFFF"/>
          <w:vertAlign w:val="superscript"/>
        </w:rPr>
        <w:t>The Mayagna (Sumo) Awas Tingni Community v. Nicaragua</w:t>
      </w:r>
      <w:r w:rsidRPr="002F1C58">
        <w:rPr>
          <w:rFonts w:ascii="Times New Roman" w:hAnsi="Times New Roman" w:cs="Times New Roman"/>
          <w:bCs/>
          <w:color w:val="000000"/>
          <w:sz w:val="24"/>
          <w:szCs w:val="24"/>
          <w:shd w:val="clear" w:color="auto" w:fill="FFFFFF"/>
          <w:vertAlign w:val="superscript"/>
        </w:rPr>
        <w:t xml:space="preserve">, Judgment of August 31, 2001, Inter-Am. Ct. H.R., (Ser. C) No. 79 (2001) affirming indigenous collective property rights.  </w:t>
      </w:r>
    </w:p>
  </w:footnote>
  <w:footnote w:id="75">
    <w:p w:rsidR="00111E65" w:rsidRPr="002F1C58" w:rsidRDefault="00111E65" w:rsidP="00B1318F">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 xml:space="preserve">(Endorois case) “Recommendation of the African Commission” </w:t>
      </w:r>
    </w:p>
  </w:footnote>
  <w:footnote w:id="76">
    <w:p w:rsidR="00111E65" w:rsidRPr="002F1C58" w:rsidRDefault="00111E65" w:rsidP="009501B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Ibid. </w:t>
      </w:r>
    </w:p>
  </w:footnote>
  <w:footnote w:id="77">
    <w:p w:rsidR="00111E65" w:rsidRPr="002F1C58" w:rsidRDefault="00111E65" w:rsidP="009501B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Ibid at Para. 215. </w:t>
      </w:r>
    </w:p>
  </w:footnote>
  <w:footnote w:id="78">
    <w:p w:rsidR="00111E65" w:rsidRPr="002F1C58" w:rsidRDefault="00111E65" w:rsidP="009501B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Ibid at P. 215 </w:t>
      </w:r>
    </w:p>
  </w:footnote>
  <w:footnote w:id="79">
    <w:p w:rsidR="00111E65" w:rsidRPr="002F1C58" w:rsidRDefault="00111E65" w:rsidP="009501BC">
      <w:pPr>
        <w:pStyle w:val="NoSpacing"/>
        <w:rPr>
          <w:rFonts w:ascii="Times New Roman" w:hAnsi="Times New Roman" w:cs="Times New Roman"/>
          <w:sz w:val="24"/>
          <w:szCs w:val="24"/>
          <w:vertAlign w:val="superscript"/>
          <w:lang w:val="en-U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The Brazilian Constitution provides for, “[A]ncestral possession as the basis for the territorial rights” of indigenous peoples yet often this right is not implemented or simply ignored. See, </w:t>
      </w:r>
      <w:r w:rsidRPr="002F1C58">
        <w:rPr>
          <w:rFonts w:ascii="Times New Roman" w:hAnsi="Times New Roman" w:cs="Times New Roman"/>
          <w:caps/>
          <w:sz w:val="24"/>
          <w:szCs w:val="24"/>
          <w:vertAlign w:val="superscript"/>
          <w:lang w:val="en-US"/>
        </w:rPr>
        <w:t>report of the rapporteur</w:t>
      </w:r>
      <w:r w:rsidRPr="002F1C58">
        <w:rPr>
          <w:rFonts w:ascii="Times New Roman" w:hAnsi="Times New Roman" w:cs="Times New Roman"/>
          <w:sz w:val="24"/>
          <w:szCs w:val="24"/>
          <w:vertAlign w:val="superscript"/>
          <w:lang w:val="en-US"/>
        </w:rPr>
        <w:t xml:space="preserve"> Meeting of the Working Group on the Fifth Section of the Draft Declaration with special emphasis on “Traditional Forms of Ownership and Cultural Survival, Right to Land and Territories”,</w:t>
      </w:r>
      <w:r w:rsidRPr="002F1C58">
        <w:rPr>
          <w:rFonts w:ascii="Times New Roman" w:hAnsi="Times New Roman" w:cs="Times New Roman"/>
          <w:sz w:val="24"/>
          <w:szCs w:val="24"/>
          <w:vertAlign w:val="superscript"/>
        </w:rPr>
        <w:t xml:space="preserve"> Osvaldo Kreimer. </w:t>
      </w:r>
      <w:r w:rsidRPr="002F1C58">
        <w:rPr>
          <w:rFonts w:ascii="Times New Roman" w:hAnsi="Times New Roman" w:cs="Times New Roman"/>
          <w:sz w:val="24"/>
          <w:szCs w:val="24"/>
          <w:vertAlign w:val="superscript"/>
          <w:lang w:val="en-US"/>
        </w:rPr>
        <w:t>COMMITTEE ON JURIDICAL AND POLITICAL AFFAIRS Working Group to Prepare the Draft American Declaration on the Rights of Indigenous Peoples</w:t>
      </w:r>
      <w:r w:rsidRPr="002F1C58">
        <w:rPr>
          <w:rFonts w:ascii="Times New Roman" w:hAnsi="Times New Roman" w:cs="Times New Roman"/>
          <w:b/>
          <w:sz w:val="24"/>
          <w:szCs w:val="24"/>
          <w:vertAlign w:val="superscript"/>
        </w:rPr>
        <w:t xml:space="preserve">.  </w:t>
      </w:r>
      <w:r w:rsidRPr="002F1C58">
        <w:rPr>
          <w:rFonts w:ascii="Times New Roman" w:hAnsi="Times New Roman" w:cs="Times New Roman"/>
          <w:sz w:val="24"/>
          <w:szCs w:val="24"/>
          <w:vertAlign w:val="superscript"/>
          <w:lang w:val="en-US"/>
        </w:rPr>
        <w:t>PERMANENT COUNCIL OF ORGANIZATION OF AMERICAN STATES</w:t>
      </w:r>
      <w:r w:rsidRPr="002F1C58">
        <w:rPr>
          <w:rFonts w:ascii="Times New Roman" w:hAnsi="Times New Roman" w:cs="Times New Roman"/>
          <w:sz w:val="24"/>
          <w:szCs w:val="24"/>
          <w:vertAlign w:val="superscript"/>
          <w:lang w:val="en-US"/>
        </w:rPr>
        <w:tab/>
      </w:r>
    </w:p>
  </w:footnote>
  <w:footnote w:id="80">
    <w:p w:rsidR="00111E65" w:rsidRPr="002F1C58" w:rsidRDefault="00111E65" w:rsidP="009501B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article 5 on protection of communities with a special attachment to land, </w:t>
      </w:r>
      <w:r w:rsidRPr="002F1C58">
        <w:rPr>
          <w:rFonts w:ascii="Times New Roman" w:hAnsi="Times New Roman" w:cs="Times New Roman"/>
          <w:sz w:val="24"/>
          <w:szCs w:val="24"/>
          <w:shd w:val="clear" w:color="auto" w:fill="F9F9F9"/>
          <w:vertAlign w:val="superscript"/>
        </w:rPr>
        <w:t>African Union,</w:t>
      </w:r>
      <w:r w:rsidRPr="002F1C58">
        <w:rPr>
          <w:rStyle w:val="apple-converted-space"/>
          <w:rFonts w:ascii="Times New Roman" w:hAnsi="Times New Roman" w:cs="Times New Roman"/>
          <w:sz w:val="24"/>
          <w:szCs w:val="24"/>
          <w:shd w:val="clear" w:color="auto" w:fill="F9F9F9"/>
          <w:vertAlign w:val="superscript"/>
        </w:rPr>
        <w:t> </w:t>
      </w:r>
      <w:r w:rsidRPr="002F1C58">
        <w:rPr>
          <w:rFonts w:ascii="Times New Roman" w:hAnsi="Times New Roman" w:cs="Times New Roman"/>
          <w:i/>
          <w:iCs/>
          <w:sz w:val="24"/>
          <w:szCs w:val="24"/>
          <w:vertAlign w:val="superscript"/>
        </w:rPr>
        <w:t>Kampala Declaration on Refugees, Returnees and Internally Displaced Persons in Africa</w:t>
      </w:r>
      <w:r w:rsidRPr="002F1C58">
        <w:rPr>
          <w:rFonts w:ascii="Times New Roman" w:hAnsi="Times New Roman" w:cs="Times New Roman"/>
          <w:sz w:val="24"/>
          <w:szCs w:val="24"/>
          <w:shd w:val="clear" w:color="auto" w:fill="F9F9F9"/>
          <w:vertAlign w:val="superscript"/>
        </w:rPr>
        <w:t>, 23 October 2009, Ext/Assembly/AU/PA/Draft/Decl.(I) Rev.1</w:t>
      </w:r>
    </w:p>
  </w:footnote>
  <w:footnote w:id="81">
    <w:p w:rsidR="00111E65" w:rsidRPr="002F1C58" w:rsidRDefault="00111E65" w:rsidP="00D733F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below section 5.2.1</w:t>
      </w:r>
      <w:r w:rsidRPr="002F1C58">
        <w:rPr>
          <w:rFonts w:ascii="Times New Roman" w:hAnsi="Times New Roman" w:cs="Times New Roman"/>
          <w:b/>
          <w:i/>
          <w:sz w:val="24"/>
          <w:szCs w:val="24"/>
          <w:vertAlign w:val="superscript"/>
        </w:rPr>
        <w:t xml:space="preserve"> </w:t>
      </w:r>
      <w:r w:rsidRPr="002F1C58">
        <w:rPr>
          <w:rFonts w:ascii="Times New Roman" w:hAnsi="Times New Roman" w:cs="Times New Roman"/>
          <w:sz w:val="24"/>
          <w:szCs w:val="24"/>
          <w:vertAlign w:val="superscript"/>
        </w:rPr>
        <w:t xml:space="preserve"> (</w:t>
      </w:r>
      <w:r w:rsidRPr="002F1C58">
        <w:rPr>
          <w:rFonts w:ascii="Times New Roman" w:hAnsi="Times New Roman" w:cs="Times New Roman"/>
          <w:bCs/>
          <w:i/>
          <w:color w:val="000000"/>
          <w:sz w:val="24"/>
          <w:szCs w:val="24"/>
          <w:shd w:val="clear" w:color="auto" w:fill="FFFFFF"/>
          <w:vertAlign w:val="superscript"/>
        </w:rPr>
        <w:t>The Mayagna (Sumo) Awas Tingni Community v. Nicaragua)</w:t>
      </w:r>
      <w:r w:rsidRPr="002F1C58">
        <w:rPr>
          <w:rFonts w:ascii="Times New Roman" w:hAnsi="Times New Roman" w:cs="Times New Roman"/>
          <w:sz w:val="24"/>
          <w:szCs w:val="24"/>
          <w:vertAlign w:val="superscript"/>
        </w:rPr>
        <w:t xml:space="preserve"> </w:t>
      </w:r>
    </w:p>
  </w:footnote>
  <w:footnote w:id="82">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70  at Para 191 </w:t>
      </w:r>
    </w:p>
  </w:footnote>
  <w:footnote w:id="83">
    <w:p w:rsidR="00111E65" w:rsidRPr="002F1C58" w:rsidRDefault="00111E65" w:rsidP="00C4267D">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Supra n.4 </w:t>
      </w:r>
    </w:p>
  </w:footnote>
  <w:footnote w:id="84">
    <w:p w:rsidR="00111E65" w:rsidRPr="002F1C58" w:rsidRDefault="00111E65" w:rsidP="00C4267D">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shd w:val="clear" w:color="auto" w:fill="FFFFFF"/>
          <w:vertAlign w:val="superscript"/>
        </w:rPr>
        <w:t>Ibid</w:t>
      </w:r>
      <w:r w:rsidRPr="002F1C58">
        <w:rPr>
          <w:rFonts w:ascii="Times New Roman" w:hAnsi="Times New Roman" w:cs="Times New Roman"/>
          <w:sz w:val="24"/>
          <w:szCs w:val="24"/>
          <w:shd w:val="clear" w:color="auto" w:fill="FFFFFF"/>
          <w:vertAlign w:val="superscript"/>
        </w:rPr>
        <w:t xml:space="preserve"> at p. 220</w:t>
      </w:r>
    </w:p>
  </w:footnote>
  <w:footnote w:id="85">
    <w:p w:rsidR="00111E65" w:rsidRPr="002F1C58" w:rsidRDefault="00111E65" w:rsidP="00C4267D">
      <w:pPr>
        <w:pStyle w:val="NoSpacing"/>
        <w:rPr>
          <w:rFonts w:ascii="Times New Roman" w:hAnsi="Times New Roman" w:cs="Times New Roman"/>
          <w:color w:val="222222"/>
          <w:sz w:val="24"/>
          <w:szCs w:val="24"/>
          <w:shd w:val="clear" w:color="auto" w:fill="FFFFFF"/>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p>
  </w:footnote>
  <w:footnote w:id="86">
    <w:p w:rsidR="00111E65" w:rsidRPr="002F1C58" w:rsidRDefault="00111E65" w:rsidP="004E3D9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4 (Gilbert and Doyle) </w:t>
      </w:r>
    </w:p>
  </w:footnote>
  <w:footnote w:id="87">
    <w:p w:rsidR="00111E65" w:rsidRPr="002F1C58" w:rsidRDefault="00111E65" w:rsidP="004E3D9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REPORT OF THE FOUR MEMBER COMMITTEE FOR INVESTIGATION INTO THE PROPOSAL SUBMITTED BY THE ORISSA MINING COMPANY FOR BAUXITE MINING IN NIYAMGIRI August 16, 2010 by Dr N C Saxena,  Dr S Parasuraman, Dr Promode Kant, Dr Amita Baviskar Submitted to the Ministry of Environment &amp; Forests Government of India New Delhi </w:t>
      </w:r>
    </w:p>
  </w:footnote>
  <w:footnote w:id="88">
    <w:p w:rsidR="00111E65" w:rsidRPr="002F1C58" w:rsidRDefault="00111E65" w:rsidP="004E3D9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the report declared that, “Lands that the Dongria Kondh cultivate lie in close proximity to the PML area [Proposed Mining Lease]. Mining-related activities such as tree-felling, blasting, the removal of soil, road building, and the movement of heavy machinery will deny them access to their lands that they have used for generations.” At P.85  </w:t>
      </w:r>
    </w:p>
  </w:footnote>
  <w:footnote w:id="89">
    <w:p w:rsidR="00111E65" w:rsidRPr="002F1C58" w:rsidRDefault="00111E65" w:rsidP="004E3D9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Vedanta</w:t>
      </w:r>
      <w:r w:rsidRPr="002F1C58">
        <w:rPr>
          <w:rFonts w:ascii="Times New Roman" w:eastAsia="Times New Roman" w:hAnsi="Times New Roman" w:cs="Times New Roman"/>
          <w:bCs/>
          <w:kern w:val="36"/>
          <w:sz w:val="24"/>
          <w:szCs w:val="24"/>
          <w:vertAlign w:val="superscript"/>
        </w:rPr>
        <w:t xml:space="preserve"> Resources lawsuit (re Dongria Kondh in Orissa). Available at: http://business-humanrights.org/en/vedanta-resources-lawsuit-re-dongria-kondh-in-orissa#c9349. Accessed 20/09/2014</w:t>
      </w:r>
    </w:p>
  </w:footnote>
  <w:footnote w:id="90">
    <w:p w:rsidR="00111E65" w:rsidRPr="002F1C58" w:rsidRDefault="00111E65" w:rsidP="004E3D9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The Indigenous World Yearbook</w:t>
      </w:r>
      <w:r w:rsidRPr="002F1C58">
        <w:rPr>
          <w:rFonts w:ascii="Times New Roman" w:hAnsi="Times New Roman" w:cs="Times New Roman"/>
          <w:sz w:val="24"/>
          <w:szCs w:val="24"/>
          <w:vertAlign w:val="superscript"/>
        </w:rPr>
        <w:t xml:space="preserve">”, International Work Group for Indigenous Affairs, (2010) P. 13. Available at: http://www.iwgia.org/publications/search-pubs?publication_id=1-Accessed 03/09/2014 </w:t>
      </w:r>
    </w:p>
  </w:footnote>
  <w:footnote w:id="91">
    <w:p w:rsidR="00111E65" w:rsidRPr="002F1C58" w:rsidRDefault="00111E65" w:rsidP="00C4267D">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in Malaysia, where the construction of 39 dams will not only destroy an indigenous group’s ancestral habitat, but will also in the process displace the inhabitants of 9 villages,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 xml:space="preserve">n.91 Pp. 348-351 </w:t>
      </w:r>
    </w:p>
  </w:footnote>
  <w:footnote w:id="92">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at P. 14 </w:t>
      </w:r>
    </w:p>
  </w:footnote>
  <w:footnote w:id="93">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Hari Osofsky, “Climate Change and Environmental Justice: Reflections on Litigation over Oil Extraction and Rights Violations in Nigeria.” </w:t>
      </w:r>
      <w:r w:rsidRPr="002F1C58">
        <w:rPr>
          <w:rFonts w:ascii="Times New Roman" w:hAnsi="Times New Roman" w:cs="Times New Roman"/>
          <w:i/>
          <w:sz w:val="24"/>
          <w:szCs w:val="24"/>
          <w:vertAlign w:val="superscript"/>
        </w:rPr>
        <w:t>Journal of Human Rights and the Environment, Vol. 1 No.2, September 2010</w:t>
      </w:r>
      <w:r w:rsidRPr="002F1C58">
        <w:rPr>
          <w:rFonts w:ascii="Times New Roman" w:hAnsi="Times New Roman" w:cs="Times New Roman"/>
          <w:sz w:val="24"/>
          <w:szCs w:val="24"/>
          <w:vertAlign w:val="superscript"/>
        </w:rPr>
        <w:t xml:space="preserve">, Pp 189-210    </w:t>
      </w:r>
    </w:p>
  </w:footnote>
  <w:footnote w:id="94">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An illustrative example of the violence that often accompanies protests against mining exploitation of minerals on indigenous lands is that of the killing of indigenous activist Álvaro Benigno, who was shot six times on 13th March, 2005 by a private security firm hired by Canadian mining company, Glamis Gold. Although Glamis claimed the killing was the result of a private dispute, the killing took place in the context of death threats to anti-mining activists. See, Shin Imiai, Ladan Mehranvar, Jennifer Sander.“ Breaching Indigenous Law: Canadian mining in Guatemala.”  </w:t>
      </w:r>
      <w:r w:rsidRPr="002F1C58">
        <w:rPr>
          <w:rFonts w:ascii="Times New Roman" w:hAnsi="Times New Roman" w:cs="Times New Roman"/>
          <w:i/>
          <w:sz w:val="24"/>
          <w:szCs w:val="24"/>
          <w:vertAlign w:val="superscript"/>
        </w:rPr>
        <w:t>6 Indigenous Law journal 101 2007</w:t>
      </w:r>
      <w:r w:rsidRPr="002F1C58">
        <w:rPr>
          <w:rFonts w:ascii="Times New Roman" w:hAnsi="Times New Roman" w:cs="Times New Roman"/>
          <w:sz w:val="24"/>
          <w:szCs w:val="24"/>
          <w:vertAlign w:val="superscript"/>
        </w:rPr>
        <w:t>, Pp 109-115</w:t>
      </w:r>
    </w:p>
  </w:footnote>
  <w:footnote w:id="95">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Infra</w:t>
      </w:r>
      <w:r w:rsidRPr="002F1C58">
        <w:rPr>
          <w:rFonts w:ascii="Times New Roman" w:hAnsi="Times New Roman" w:cs="Times New Roman"/>
          <w:sz w:val="24"/>
          <w:szCs w:val="24"/>
          <w:vertAlign w:val="superscript"/>
        </w:rPr>
        <w:t xml:space="preserve"> N. 111</w:t>
      </w:r>
    </w:p>
  </w:footnote>
  <w:footnote w:id="96">
    <w:p w:rsidR="00111E65" w:rsidRPr="002F1C58" w:rsidRDefault="00111E65" w:rsidP="00F71C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Style w:val="Emphasis"/>
          <w:rFonts w:ascii="Times New Roman" w:hAnsi="Times New Roman" w:cs="Times New Roman"/>
          <w:bCs/>
          <w:iCs w:val="0"/>
          <w:sz w:val="24"/>
          <w:szCs w:val="24"/>
          <w:shd w:val="clear" w:color="auto" w:fill="FFFFFF"/>
          <w:vertAlign w:val="superscript"/>
        </w:rPr>
        <w:t>395 F</w:t>
      </w:r>
      <w:r w:rsidRPr="002F1C58">
        <w:rPr>
          <w:rFonts w:ascii="Times New Roman" w:hAnsi="Times New Roman" w:cs="Times New Roman"/>
          <w:sz w:val="24"/>
          <w:szCs w:val="24"/>
          <w:shd w:val="clear" w:color="auto" w:fill="FFFFFF"/>
          <w:vertAlign w:val="superscript"/>
        </w:rPr>
        <w:t>.</w:t>
      </w:r>
      <w:r w:rsidRPr="002F1C58">
        <w:rPr>
          <w:rStyle w:val="Emphasis"/>
          <w:rFonts w:ascii="Times New Roman" w:hAnsi="Times New Roman" w:cs="Times New Roman"/>
          <w:bCs/>
          <w:iCs w:val="0"/>
          <w:sz w:val="24"/>
          <w:szCs w:val="24"/>
          <w:shd w:val="clear" w:color="auto" w:fill="FFFFFF"/>
          <w:vertAlign w:val="superscript"/>
        </w:rPr>
        <w:t>3d 932</w:t>
      </w:r>
      <w:r w:rsidRPr="002F1C58">
        <w:rPr>
          <w:rStyle w:val="apple-converted-space"/>
          <w:rFonts w:ascii="Times New Roman" w:hAnsi="Times New Roman" w:cs="Times New Roman"/>
          <w:i/>
          <w:sz w:val="24"/>
          <w:szCs w:val="24"/>
          <w:shd w:val="clear" w:color="auto" w:fill="FFFFFF"/>
          <w:vertAlign w:val="superscript"/>
        </w:rPr>
        <w:t> </w:t>
      </w:r>
      <w:r w:rsidRPr="002F1C58">
        <w:rPr>
          <w:rFonts w:ascii="Times New Roman" w:hAnsi="Times New Roman" w:cs="Times New Roman"/>
          <w:sz w:val="24"/>
          <w:szCs w:val="24"/>
          <w:shd w:val="clear" w:color="auto" w:fill="FFFFFF"/>
          <w:vertAlign w:val="superscript"/>
        </w:rPr>
        <w:t>(</w:t>
      </w:r>
      <w:r w:rsidRPr="002F1C58">
        <w:rPr>
          <w:rStyle w:val="Emphasis"/>
          <w:rFonts w:ascii="Times New Roman" w:hAnsi="Times New Roman" w:cs="Times New Roman"/>
          <w:bCs/>
          <w:iCs w:val="0"/>
          <w:sz w:val="24"/>
          <w:szCs w:val="24"/>
          <w:shd w:val="clear" w:color="auto" w:fill="FFFFFF"/>
          <w:vertAlign w:val="superscript"/>
        </w:rPr>
        <w:t>9th Cir</w:t>
      </w:r>
      <w:r w:rsidRPr="002F1C58">
        <w:rPr>
          <w:rFonts w:ascii="Times New Roman" w:hAnsi="Times New Roman" w:cs="Times New Roman"/>
          <w:sz w:val="24"/>
          <w:szCs w:val="24"/>
          <w:shd w:val="clear" w:color="auto" w:fill="FFFFFF"/>
          <w:vertAlign w:val="superscript"/>
        </w:rPr>
        <w:t>.</w:t>
      </w:r>
      <w:r w:rsidRPr="002F1C58">
        <w:rPr>
          <w:rStyle w:val="apple-converted-space"/>
          <w:rFonts w:ascii="Times New Roman" w:hAnsi="Times New Roman" w:cs="Times New Roman"/>
          <w:i/>
          <w:sz w:val="24"/>
          <w:szCs w:val="24"/>
          <w:shd w:val="clear" w:color="auto" w:fill="FFFFFF"/>
          <w:vertAlign w:val="superscript"/>
        </w:rPr>
        <w:t> </w:t>
      </w:r>
      <w:r w:rsidRPr="002F1C58">
        <w:rPr>
          <w:rStyle w:val="Emphasis"/>
          <w:rFonts w:ascii="Times New Roman" w:hAnsi="Times New Roman" w:cs="Times New Roman"/>
          <w:bCs/>
          <w:iCs w:val="0"/>
          <w:sz w:val="24"/>
          <w:szCs w:val="24"/>
          <w:shd w:val="clear" w:color="auto" w:fill="FFFFFF"/>
          <w:vertAlign w:val="superscript"/>
        </w:rPr>
        <w:t>2002</w:t>
      </w:r>
      <w:r w:rsidRPr="002F1C58">
        <w:rPr>
          <w:rFonts w:ascii="Times New Roman" w:hAnsi="Times New Roman" w:cs="Times New Roman"/>
          <w:sz w:val="24"/>
          <w:szCs w:val="24"/>
          <w:shd w:val="clear" w:color="auto" w:fill="FFFFFF"/>
          <w:vertAlign w:val="superscript"/>
        </w:rPr>
        <w:t xml:space="preserve">) </w:t>
      </w:r>
    </w:p>
  </w:footnote>
  <w:footnote w:id="97">
    <w:p w:rsidR="00111E65" w:rsidRPr="002F1C58" w:rsidRDefault="00111E65" w:rsidP="00F71C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“Ibid</w:t>
      </w:r>
      <w:r w:rsidRPr="002F1C58">
        <w:rPr>
          <w:rFonts w:ascii="Times New Roman" w:hAnsi="Times New Roman" w:cs="Times New Roman"/>
          <w:b/>
          <w:sz w:val="24"/>
          <w:szCs w:val="24"/>
          <w:vertAlign w:val="superscript"/>
        </w:rPr>
        <w:t xml:space="preserve"> </w:t>
      </w:r>
      <w:r w:rsidRPr="002F1C58">
        <w:rPr>
          <w:rFonts w:ascii="Times New Roman" w:hAnsi="Times New Roman" w:cs="Times New Roman"/>
          <w:sz w:val="24"/>
          <w:szCs w:val="24"/>
          <w:vertAlign w:val="superscript"/>
        </w:rPr>
        <w:t xml:space="preserve"> </w:t>
      </w:r>
    </w:p>
  </w:footnote>
  <w:footnote w:id="98">
    <w:p w:rsidR="00111E65" w:rsidRPr="002F1C58" w:rsidRDefault="00111E65" w:rsidP="00F71C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In light of these examples and others, in 2011 the United Nations Human Rights Council endorsed the Guiding Principles for Business and Human Rights, a set of international standards designed to prevent and address to human rights violations, such as the above. See, Guiding Principles on Business and Human Rights Implementing the United Nations “Protect, Respect and Remedy” Framework (A/HRC/17/31),  </w:t>
      </w:r>
    </w:p>
  </w:footnote>
  <w:footnote w:id="99">
    <w:p w:rsidR="00111E65" w:rsidRPr="002F1C58" w:rsidRDefault="00111E65" w:rsidP="00F71C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Wiwa v. Royal Dutch Petroleum Co., 226 F.3d 88 (2d Cir. 2000),</w:t>
      </w:r>
    </w:p>
  </w:footnote>
  <w:footnote w:id="100">
    <w:p w:rsidR="00111E65" w:rsidRPr="002F1C58" w:rsidRDefault="00111E65" w:rsidP="00F71C74">
      <w:pPr>
        <w:pStyle w:val="NoSpacing"/>
        <w:rPr>
          <w:rFonts w:ascii="Times New Roman" w:eastAsia="Times New Roman" w:hAnsi="Times New Roman" w:cs="Times New Roman"/>
          <w:kern w:val="36"/>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eastAsia="Times New Roman" w:hAnsi="Times New Roman" w:cs="Times New Roman"/>
          <w:kern w:val="36"/>
          <w:sz w:val="24"/>
          <w:szCs w:val="24"/>
          <w:vertAlign w:val="superscript"/>
        </w:rPr>
        <w:t xml:space="preserve">Shell to Pay $15.5 Million to Settle Nigerian Case”, Available at: </w:t>
      </w:r>
    </w:p>
    <w:p w:rsidR="00111E65" w:rsidRPr="002F1C58" w:rsidRDefault="00111E65" w:rsidP="00F71C74">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 http://www.nytimes.com/2009/06/09/business/global/09shell.html-Accessed 26/08/2104 </w:t>
      </w:r>
    </w:p>
  </w:footnote>
  <w:footnote w:id="101">
    <w:p w:rsidR="00111E65" w:rsidRPr="002F1C58" w:rsidRDefault="00111E65" w:rsidP="00083118">
      <w:pPr>
        <w:pStyle w:val="NoSpacing"/>
        <w:rPr>
          <w:rFonts w:ascii="Times New Roman" w:hAnsi="Times New Roman" w:cs="Times New Roman"/>
          <w:b/>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Article 1, </w:t>
      </w:r>
      <w:r w:rsidRPr="002F1C58">
        <w:rPr>
          <w:rFonts w:ascii="Times New Roman" w:eastAsia="Times New Roman" w:hAnsi="Times New Roman" w:cs="Times New Roman"/>
          <w:sz w:val="24"/>
          <w:szCs w:val="24"/>
          <w:vertAlign w:val="superscript"/>
        </w:rPr>
        <w:t>“All human beings are born free and equal in dignity and rights. They are endowed with reason and conscience and should act towards one another in a spirit of brotherhood.</w:t>
      </w:r>
      <w:r w:rsidRPr="002F1C58">
        <w:rPr>
          <w:rFonts w:ascii="Times New Roman" w:hAnsi="Times New Roman" w:cs="Times New Roman"/>
          <w:sz w:val="24"/>
          <w:szCs w:val="24"/>
          <w:vertAlign w:val="superscript"/>
        </w:rPr>
        <w:t xml:space="preserve">” UN General Assembly, </w:t>
      </w:r>
      <w:r w:rsidRPr="002F1C58">
        <w:rPr>
          <w:rFonts w:ascii="Times New Roman" w:hAnsi="Times New Roman" w:cs="Times New Roman"/>
          <w:i/>
          <w:iCs/>
          <w:sz w:val="24"/>
          <w:szCs w:val="24"/>
          <w:vertAlign w:val="superscript"/>
        </w:rPr>
        <w:t>Universal Declaration of Human Rights</w:t>
      </w:r>
      <w:r w:rsidRPr="002F1C58">
        <w:rPr>
          <w:rFonts w:ascii="Times New Roman" w:hAnsi="Times New Roman" w:cs="Times New Roman"/>
          <w:sz w:val="24"/>
          <w:szCs w:val="24"/>
          <w:vertAlign w:val="superscript"/>
        </w:rPr>
        <w:t xml:space="preserve">, 10 December 1948, 217 A (III] </w:t>
      </w:r>
      <w:r w:rsidRPr="002F1C58">
        <w:rPr>
          <w:rFonts w:ascii="Times New Roman" w:hAnsi="Times New Roman" w:cs="Times New Roman"/>
          <w:color w:val="000000"/>
          <w:sz w:val="24"/>
          <w:szCs w:val="24"/>
          <w:shd w:val="clear" w:color="auto" w:fill="FFFFFF"/>
          <w:vertAlign w:val="superscript"/>
        </w:rPr>
        <w:t xml:space="preserve">G.A. res. 217A (III), U.N. Doc A/810 at 71 </w:t>
      </w:r>
    </w:p>
  </w:footnote>
  <w:footnote w:id="102">
    <w:p w:rsidR="00111E65" w:rsidRPr="002F1C58" w:rsidRDefault="00111E65" w:rsidP="0008311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See Supra</w:t>
      </w:r>
      <w:r w:rsidRPr="002F1C58">
        <w:rPr>
          <w:rFonts w:ascii="Times New Roman" w:hAnsi="Times New Roman" w:cs="Times New Roman"/>
          <w:sz w:val="24"/>
          <w:szCs w:val="24"/>
          <w:vertAlign w:val="superscript"/>
        </w:rPr>
        <w:t xml:space="preserve"> N 12 at P.129</w:t>
      </w:r>
    </w:p>
  </w:footnote>
  <w:footnote w:id="103">
    <w:p w:rsidR="00111E65" w:rsidRPr="002F1C58" w:rsidRDefault="00111E65" w:rsidP="0008311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color w:val="000000"/>
          <w:sz w:val="24"/>
          <w:szCs w:val="24"/>
          <w:shd w:val="clear" w:color="auto" w:fill="FFFFFF"/>
          <w:vertAlign w:val="superscript"/>
        </w:rPr>
        <w:t xml:space="preserve">Ibid </w:t>
      </w:r>
      <w:r w:rsidRPr="002F1C58">
        <w:rPr>
          <w:rFonts w:ascii="Times New Roman" w:hAnsi="Times New Roman" w:cs="Times New Roman"/>
          <w:color w:val="000000"/>
          <w:sz w:val="24"/>
          <w:szCs w:val="24"/>
          <w:shd w:val="clear" w:color="auto" w:fill="FFFFFF"/>
          <w:vertAlign w:val="superscript"/>
        </w:rPr>
        <w:t xml:space="preserve">at Paras.1 and 5 </w:t>
      </w:r>
    </w:p>
  </w:footnote>
  <w:footnote w:id="104">
    <w:p w:rsidR="00111E65" w:rsidRPr="002F1C58" w:rsidRDefault="00111E65" w:rsidP="0008311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p>
  </w:footnote>
  <w:footnote w:id="105">
    <w:p w:rsidR="00111E65" w:rsidRPr="002F1C58" w:rsidRDefault="00111E65" w:rsidP="0008311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p>
  </w:footnote>
  <w:footnote w:id="106">
    <w:p w:rsidR="00111E65" w:rsidRPr="002F1C58" w:rsidRDefault="00111E65" w:rsidP="00EB578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shd w:val="clear" w:color="auto" w:fill="F9F9F9"/>
          <w:vertAlign w:val="superscript"/>
        </w:rPr>
        <w:t>UN Educational, Scientific and Cultural Organisation (UNESCO),</w:t>
      </w:r>
      <w:r w:rsidRPr="002F1C58">
        <w:rPr>
          <w:rStyle w:val="apple-converted-space"/>
          <w:rFonts w:ascii="Times New Roman" w:hAnsi="Times New Roman" w:cs="Times New Roman"/>
          <w:sz w:val="24"/>
          <w:szCs w:val="24"/>
          <w:shd w:val="clear" w:color="auto" w:fill="F9F9F9"/>
          <w:vertAlign w:val="superscript"/>
        </w:rPr>
        <w:t> </w:t>
      </w:r>
      <w:r w:rsidRPr="002F1C58">
        <w:rPr>
          <w:rFonts w:ascii="Times New Roman" w:hAnsi="Times New Roman" w:cs="Times New Roman"/>
          <w:i/>
          <w:iCs/>
          <w:sz w:val="24"/>
          <w:szCs w:val="24"/>
          <w:vertAlign w:val="superscript"/>
        </w:rPr>
        <w:t>UNESCO Universal Declaration on Cultural Diversity</w:t>
      </w:r>
      <w:r w:rsidRPr="002F1C58">
        <w:rPr>
          <w:rFonts w:ascii="Times New Roman" w:hAnsi="Times New Roman" w:cs="Times New Roman"/>
          <w:sz w:val="24"/>
          <w:szCs w:val="24"/>
          <w:shd w:val="clear" w:color="auto" w:fill="F9F9F9"/>
          <w:vertAlign w:val="superscript"/>
        </w:rPr>
        <w:t xml:space="preserve">, 2 November 2001. </w:t>
      </w:r>
    </w:p>
  </w:footnote>
  <w:footnote w:id="107">
    <w:p w:rsidR="00111E65" w:rsidRPr="002F1C58" w:rsidRDefault="00111E65" w:rsidP="003E5F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sz w:val="24"/>
          <w:szCs w:val="24"/>
          <w:shd w:val="clear" w:color="auto" w:fill="FFFFFF"/>
          <w:vertAlign w:val="superscript"/>
        </w:rPr>
        <w:t>GA res. 34/180, 34 UN GAOR Supp. (No. 46) at 193 (entered into force March 9th 1981)</w:t>
      </w:r>
    </w:p>
  </w:footnote>
  <w:footnote w:id="108">
    <w:p w:rsidR="00111E65" w:rsidRPr="002F1C58" w:rsidRDefault="00111E65" w:rsidP="003E5F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CEDAW/C/MEX/CO/7-8 Para.34 </w:t>
      </w:r>
    </w:p>
  </w:footnote>
  <w:footnote w:id="109">
    <w:p w:rsidR="00111E65" w:rsidRPr="002F1C58" w:rsidRDefault="00111E65" w:rsidP="003E5F74">
      <w:pPr>
        <w:pStyle w:val="NoSpacing"/>
        <w:rPr>
          <w:rFonts w:ascii="Times New Roman" w:hAnsi="Times New Roman" w:cs="Times New Roman"/>
          <w:bCs/>
          <w:sz w:val="24"/>
          <w:szCs w:val="24"/>
          <w:shd w:val="clear" w:color="auto" w:fill="FFFFFF"/>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UN General Assembly,</w:t>
      </w:r>
      <w:r w:rsidRPr="002F1C58">
        <w:rPr>
          <w:rStyle w:val="apple-converted-space"/>
          <w:rFonts w:ascii="Times New Roman" w:hAnsi="Times New Roman" w:cs="Times New Roman"/>
          <w:sz w:val="24"/>
          <w:szCs w:val="24"/>
          <w:vertAlign w:val="superscript"/>
        </w:rPr>
        <w:t> </w:t>
      </w:r>
      <w:r w:rsidRPr="002F1C58">
        <w:rPr>
          <w:rFonts w:ascii="Times New Roman" w:hAnsi="Times New Roman" w:cs="Times New Roman"/>
          <w:i/>
          <w:iCs/>
          <w:sz w:val="24"/>
          <w:szCs w:val="24"/>
          <w:vertAlign w:val="superscript"/>
        </w:rPr>
        <w:t>Convention on the Rights of the Child</w:t>
      </w:r>
      <w:r w:rsidRPr="002F1C58">
        <w:rPr>
          <w:rFonts w:ascii="Times New Roman" w:hAnsi="Times New Roman" w:cs="Times New Roman"/>
          <w:sz w:val="24"/>
          <w:szCs w:val="24"/>
          <w:vertAlign w:val="superscript"/>
        </w:rPr>
        <w:t xml:space="preserve">, 20 November 1989, United Nations, Treaty Series, vol. 1577 </w:t>
      </w:r>
      <w:r w:rsidRPr="002F1C58">
        <w:rPr>
          <w:rStyle w:val="Strong"/>
          <w:rFonts w:ascii="Times New Roman" w:hAnsi="Times New Roman" w:cs="Times New Roman"/>
          <w:b w:val="0"/>
          <w:sz w:val="24"/>
          <w:szCs w:val="24"/>
          <w:shd w:val="clear" w:color="auto" w:fill="FFFFFF"/>
          <w:vertAlign w:val="superscript"/>
        </w:rPr>
        <w:t xml:space="preserve">Document A/RES/44/25 (12 December 1989) </w:t>
      </w:r>
    </w:p>
  </w:footnote>
  <w:footnote w:id="110">
    <w:p w:rsidR="00111E65" w:rsidRPr="002F1C58" w:rsidRDefault="00111E65" w:rsidP="003E5F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COMMITTEE ON THE RIGHTS OF THE CHILD, 34th Session 15 September – 3 October 2003.  DAY OF GENERAL DISCUSSION ON THE RIGHTS OF INDIGENOUS CHILDREN. Para. 4 </w:t>
      </w:r>
    </w:p>
  </w:footnote>
  <w:footnote w:id="111">
    <w:p w:rsidR="00111E65" w:rsidRPr="002F1C58" w:rsidRDefault="00111E65" w:rsidP="003E5F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sz w:val="24"/>
          <w:szCs w:val="24"/>
          <w:shd w:val="clear" w:color="auto" w:fill="F9F9F9"/>
          <w:vertAlign w:val="superscript"/>
        </w:rPr>
        <w:t xml:space="preserve">General comment no. 21, Right of everyone to take part in cultural life (art. 15, para. 1a of the Covenant on Economic, Social and Cultural Rights) E/C.12/GC/21 Para. 36  </w:t>
      </w:r>
    </w:p>
  </w:footnote>
  <w:footnote w:id="112">
    <w:p w:rsidR="00111E65" w:rsidRPr="002F1C58" w:rsidRDefault="00111E65" w:rsidP="003E5F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G.A. 2106A (XX). 660 U.N.T.S. 195 (entered into force January 4th, 1969) </w:t>
      </w:r>
    </w:p>
  </w:footnote>
  <w:footnote w:id="113">
    <w:p w:rsidR="00111E65" w:rsidRPr="002F1C58" w:rsidRDefault="00111E65" w:rsidP="003E5F7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G.A Res 2200 (XXI) 999 U.NT.S. 171 (entered into force March 23rd 1976) </w:t>
      </w:r>
    </w:p>
  </w:footnote>
  <w:footnote w:id="114">
    <w:p w:rsidR="00111E65" w:rsidRPr="002F1C58" w:rsidRDefault="00111E65" w:rsidP="000F2B90">
      <w:pPr>
        <w:pStyle w:val="NoSpacing"/>
        <w:rPr>
          <w:rFonts w:ascii="Times New Roman" w:eastAsia="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eastAsia="Times New Roman" w:hAnsi="Times New Roman" w:cs="Times New Roman"/>
          <w:sz w:val="24"/>
          <w:szCs w:val="24"/>
          <w:vertAlign w:val="superscript"/>
        </w:rPr>
        <w:t xml:space="preserve">Committee on the Elimination of Racial Discrimination, General Recommendation 23, Rights of indigenous peoples (Fifty-first session, 1997), U.N. Doc. A/52/18, annex V at 122 (1997) Para.3 </w:t>
      </w:r>
    </w:p>
  </w:footnote>
  <w:footnote w:id="115">
    <w:p w:rsidR="00111E65" w:rsidRPr="002F1C58" w:rsidRDefault="00111E65" w:rsidP="000F2B9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Supra </w:t>
      </w:r>
      <w:r w:rsidRPr="002F1C58">
        <w:rPr>
          <w:rFonts w:ascii="Times New Roman" w:hAnsi="Times New Roman" w:cs="Times New Roman"/>
          <w:sz w:val="24"/>
          <w:szCs w:val="24"/>
          <w:vertAlign w:val="superscript"/>
        </w:rPr>
        <w:t xml:space="preserve">n. 70 </w:t>
      </w:r>
    </w:p>
  </w:footnote>
  <w:footnote w:id="116">
    <w:p w:rsidR="00111E65" w:rsidRPr="002F1C58" w:rsidRDefault="00111E65" w:rsidP="000F2B90">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for example in the context of land-grabbing (selling off of land by developing countries to foreign investors, both transnational commercial enterprises and governments) Beth Robertson &amp; Per Pinstrup-Andersen, “Global land acquisition: neo-colonialism or development opportunity?” </w:t>
      </w:r>
      <w:r w:rsidRPr="002F1C58">
        <w:rPr>
          <w:rFonts w:ascii="Times New Roman" w:hAnsi="Times New Roman" w:cs="Times New Roman"/>
          <w:i/>
          <w:sz w:val="24"/>
          <w:szCs w:val="24"/>
          <w:vertAlign w:val="superscript"/>
        </w:rPr>
        <w:t>Food Security. (2010) 2:271–283</w:t>
      </w:r>
    </w:p>
  </w:footnote>
  <w:footnote w:id="117">
    <w:p w:rsidR="00111E65" w:rsidRPr="002F1C58" w:rsidRDefault="00111E65" w:rsidP="000F2B9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sz w:val="24"/>
          <w:szCs w:val="24"/>
          <w:vertAlign w:val="superscript"/>
          <w:lang w:val="en-US"/>
        </w:rPr>
        <w:t xml:space="preserve">Consideration of reports submitted by States parties </w:t>
      </w:r>
      <w:r w:rsidRPr="002F1C58">
        <w:rPr>
          <w:rFonts w:ascii="Times New Roman" w:hAnsi="Times New Roman" w:cs="Times New Roman"/>
          <w:bCs/>
          <w:sz w:val="24"/>
          <w:szCs w:val="24"/>
          <w:vertAlign w:val="superscript"/>
          <w:lang w:val="en-US"/>
        </w:rPr>
        <w:t>under article 9 of the convention.</w:t>
      </w:r>
      <w:r w:rsidRPr="002F1C58">
        <w:rPr>
          <w:rFonts w:ascii="Times New Roman" w:hAnsi="Times New Roman" w:cs="Times New Roman"/>
          <w:sz w:val="24"/>
          <w:szCs w:val="24"/>
          <w:vertAlign w:val="superscript"/>
        </w:rPr>
        <w:t xml:space="preserve"> Draft Concluding observations of the Committee on the Elimination of Racial Discrimination. CERD/C/KHM/CO/8-13. Para. 16 </w:t>
      </w:r>
    </w:p>
  </w:footnote>
  <w:footnote w:id="118">
    <w:p w:rsidR="00111E65" w:rsidRPr="002F1C58" w:rsidRDefault="00111E65" w:rsidP="000F2B9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Para.17 </w:t>
      </w:r>
    </w:p>
  </w:footnote>
  <w:footnote w:id="119">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w:t>
      </w:r>
    </w:p>
  </w:footnote>
  <w:footnote w:id="120">
    <w:p w:rsidR="00111E65" w:rsidRPr="002F1C58" w:rsidRDefault="00111E65" w:rsidP="007146EE">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The Committee against Torture (CAT), the body which monitors the </w:t>
      </w:r>
      <w:r w:rsidRPr="002F1C58">
        <w:rPr>
          <w:rFonts w:ascii="Times New Roman" w:hAnsi="Times New Roman" w:cs="Times New Roman"/>
          <w:sz w:val="24"/>
          <w:szCs w:val="24"/>
          <w:shd w:val="clear" w:color="auto" w:fill="FFFFFF"/>
          <w:vertAlign w:val="superscript"/>
        </w:rPr>
        <w:t>Convention against Torture and Other Cruel, Inhuman or Degrading Treatment or Punishment</w:t>
      </w:r>
      <w:r w:rsidRPr="002F1C58">
        <w:rPr>
          <w:rFonts w:ascii="Times New Roman" w:hAnsi="Times New Roman" w:cs="Times New Roman"/>
          <w:sz w:val="24"/>
          <w:szCs w:val="24"/>
          <w:vertAlign w:val="superscript"/>
        </w:rPr>
        <w:t xml:space="preserve">, also engages with violations against indigenous peoples in its considerations of reports submitted by state parties. See for example, </w:t>
      </w:r>
      <w:r w:rsidRPr="002F1C58">
        <w:rPr>
          <w:rFonts w:ascii="Times New Roman" w:hAnsi="Times New Roman" w:cs="Times New Roman"/>
          <w:i/>
          <w:sz w:val="24"/>
          <w:szCs w:val="24"/>
          <w:vertAlign w:val="superscript"/>
        </w:rPr>
        <w:t>Concluding observations of the Committee against Torture CHILE (</w:t>
      </w:r>
      <w:r w:rsidRPr="002F1C58">
        <w:rPr>
          <w:rFonts w:ascii="Times New Roman" w:hAnsi="Times New Roman" w:cs="Times New Roman"/>
          <w:sz w:val="24"/>
          <w:szCs w:val="24"/>
          <w:vertAlign w:val="superscript"/>
        </w:rPr>
        <w:t xml:space="preserve">2009) CAT/C/CHL/CO/5 at Para. 23 Concerning abusive acts by police officers against members of the Mapuche peoples.  </w:t>
      </w:r>
    </w:p>
  </w:footnote>
  <w:footnote w:id="121">
    <w:p w:rsidR="00111E65" w:rsidRPr="002F1C58" w:rsidRDefault="00111E65" w:rsidP="009C31D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Article 27 states that, “In those States in which ethnic, religious or linguistic minorities exist, persons belonging to such minorities shall not be denied the right, in community with the other members of their group, to enjoy their own culture, to profess and practise their own religion, or to use their own language.” Supra n. 19</w:t>
      </w:r>
    </w:p>
  </w:footnote>
  <w:footnote w:id="122">
    <w:p w:rsidR="00111E65" w:rsidRPr="002F1C58" w:rsidRDefault="00111E65" w:rsidP="009C31D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Optional Protocol to the International Covenant on Civil and Political Rights, December 16 1966, 999 U.N.T.S. 302 </w:t>
      </w:r>
    </w:p>
  </w:footnote>
  <w:footnote w:id="123">
    <w:p w:rsidR="00111E65" w:rsidRPr="002F1C58" w:rsidRDefault="00111E65" w:rsidP="00B00384">
      <w:pPr>
        <w:pStyle w:val="NoSpacing"/>
        <w:rPr>
          <w:rFonts w:ascii="Times New Roman" w:eastAsia="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eastAsia="Times New Roman" w:hAnsi="Times New Roman" w:cs="Times New Roman"/>
          <w:sz w:val="24"/>
          <w:szCs w:val="24"/>
          <w:vertAlign w:val="superscript"/>
        </w:rPr>
        <w:t>Lubicon Lake Band v. Canada, Communication No. 167/1984 (26 March 1990), U.N. Doc. Supp. No. 40 (A/45/40) at 1 (1990).</w:t>
      </w:r>
    </w:p>
  </w:footnote>
  <w:footnote w:id="124">
    <w:p w:rsidR="00111E65" w:rsidRPr="002F1C58" w:rsidRDefault="00111E65" w:rsidP="00DF4C2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i/>
          <w:sz w:val="24"/>
          <w:szCs w:val="24"/>
          <w:vertAlign w:val="superscript"/>
        </w:rPr>
        <w:t xml:space="preserve"> Ibid</w:t>
      </w:r>
      <w:r w:rsidRPr="002F1C58">
        <w:rPr>
          <w:rFonts w:ascii="Times New Roman" w:hAnsi="Times New Roman" w:cs="Times New Roman"/>
          <w:sz w:val="24"/>
          <w:szCs w:val="24"/>
          <w:vertAlign w:val="superscript"/>
        </w:rPr>
        <w:t xml:space="preserve">. Para. 32.1 </w:t>
      </w:r>
    </w:p>
  </w:footnote>
  <w:footnote w:id="125">
    <w:p w:rsidR="00111E65" w:rsidRPr="002F1C58" w:rsidRDefault="00111E65" w:rsidP="00DD153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At Para. 33 </w:t>
      </w:r>
    </w:p>
  </w:footnote>
  <w:footnote w:id="126">
    <w:p w:rsidR="00111E65" w:rsidRPr="002F1C58" w:rsidRDefault="00111E65" w:rsidP="00DD153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APPENDIX I Individual opinion: submitted by Mr. Nisuke Ando pursuant to rule 94, paragraph 3, of the Committee's rules of procedure, concerning the Committee's views on communication No, 17/1984,</w:t>
      </w:r>
    </w:p>
    <w:p w:rsidR="00111E65" w:rsidRPr="002F1C58" w:rsidRDefault="00111E65" w:rsidP="00DD1538">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B. Omanayak and the Lubicon Lake Band v. Canada. My italics  </w:t>
      </w:r>
    </w:p>
  </w:footnote>
  <w:footnote w:id="127">
    <w:p w:rsidR="00111E65" w:rsidRPr="002F1C58" w:rsidRDefault="00111E65" w:rsidP="00DD153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w:t>
      </w:r>
      <w:r w:rsidRPr="002F1C58">
        <w:rPr>
          <w:rFonts w:ascii="Times New Roman" w:hAnsi="Times New Roman" w:cs="Times New Roman"/>
          <w:i/>
          <w:sz w:val="24"/>
          <w:szCs w:val="24"/>
          <w:vertAlign w:val="superscript"/>
        </w:rPr>
        <w:t>bid</w:t>
      </w:r>
      <w:r w:rsidRPr="002F1C58">
        <w:rPr>
          <w:rFonts w:ascii="Times New Roman" w:hAnsi="Times New Roman" w:cs="Times New Roman"/>
          <w:sz w:val="24"/>
          <w:szCs w:val="24"/>
          <w:vertAlign w:val="superscript"/>
        </w:rPr>
        <w:t xml:space="preserve">, The substance of this reservation, the questions of necessity and proportionality in development and the rights of ethnic minorities, in this case the rights of indigenous peoples not to be displaced, will be discussed further in the next chapter.  </w:t>
      </w:r>
    </w:p>
    <w:p w:rsidR="00111E65" w:rsidRPr="002F1C58" w:rsidRDefault="00111E65" w:rsidP="00DD1538">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  </w:t>
      </w:r>
    </w:p>
  </w:footnote>
  <w:footnote w:id="128">
    <w:p w:rsidR="00111E65" w:rsidRPr="002F1C58" w:rsidRDefault="00111E65" w:rsidP="00DD153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Concluding observations on Belize in the absence of a report, adopted by the Committee at its 107th session (11 – 28 March 2013) CCPR/C/BLZ/CO/1. At Para. 25 </w:t>
      </w:r>
    </w:p>
  </w:footnote>
  <w:footnote w:id="129">
    <w:p w:rsidR="00111E65" w:rsidRPr="002F1C58" w:rsidRDefault="00111E65" w:rsidP="00DD153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Ibid </w:t>
      </w:r>
    </w:p>
  </w:footnote>
  <w:footnote w:id="130">
    <w:p w:rsidR="00111E65" w:rsidRPr="002F1C58" w:rsidRDefault="00111E65" w:rsidP="00DD153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Concluding observations of the Human Rights Committee: NICARAGUA UN Doc </w:t>
      </w:r>
      <w:fldSimple w:instr=" FILLIN &quot;Symbol&quot; \* MERGEFORMAT ">
        <w:r w:rsidRPr="002F1C58">
          <w:rPr>
            <w:rFonts w:ascii="Times New Roman" w:hAnsi="Times New Roman" w:cs="Times New Roman"/>
            <w:sz w:val="24"/>
            <w:szCs w:val="24"/>
            <w:vertAlign w:val="superscript"/>
          </w:rPr>
          <w:t>CCPR/C/NIC/CO/3</w:t>
        </w:r>
      </w:fldSimple>
      <w:r w:rsidRPr="002F1C58">
        <w:rPr>
          <w:rFonts w:ascii="Times New Roman" w:hAnsi="Times New Roman" w:cs="Times New Roman"/>
          <w:sz w:val="24"/>
          <w:szCs w:val="24"/>
          <w:vertAlign w:val="superscript"/>
        </w:rPr>
        <w:t xml:space="preserve"> Para. 21 </w:t>
      </w:r>
    </w:p>
  </w:footnote>
  <w:footnote w:id="131">
    <w:p w:rsidR="00111E65" w:rsidRPr="002F1C58" w:rsidRDefault="00111E65" w:rsidP="00DD153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Convention concerning Indigenous and Tribal Peoples in Independent Countries Adopted 27 Jun 1989 (entered into force 5, Sept. 1991). It is important to note that ILO 169 replaced the Convention on Indigenous and Tribal Populations (No. 107) as the latter Convention was perceived as out of date due to its assimilationist and paternalistic content and general tone; See also n. 76 (Kampala Convention) on in particular Article 4 (d) arbitrary displacement caused by “generalised violence or violations of human rights, and Article 5, on protection of communities with a special attachment to land.</w:t>
      </w:r>
    </w:p>
  </w:footnote>
  <w:footnote w:id="132">
    <w:p w:rsidR="00111E65" w:rsidRPr="002F1C58" w:rsidRDefault="00111E65" w:rsidP="0061141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Section II on Land, articles 13-19 of the Convention engages  with the concepts of the cultural and spiritual connection to land and territories, rights of ownership and possession, the setting up of adequate procedures within national legal systems to resolve land claims, the right of return to traditional lands, the right of compensation when relocated, and of particular significance for this thesis, in article 14 (1) reference is made in relation to traditional activities and livelihood subsistence of indigenous nomadic peoples, “</w:t>
      </w:r>
      <w:r w:rsidRPr="002F1C58">
        <w:rPr>
          <w:rFonts w:ascii="Times New Roman" w:hAnsi="Times New Roman" w:cs="Times New Roman"/>
          <w:sz w:val="24"/>
          <w:szCs w:val="24"/>
          <w:shd w:val="clear" w:color="auto" w:fill="FFFFFF"/>
          <w:vertAlign w:val="superscript"/>
        </w:rPr>
        <w:t xml:space="preserve">Particular attention shall be paid to the situation of nomadic peoples and shifting cultivators in this respect.” </w:t>
      </w:r>
    </w:p>
  </w:footnote>
  <w:footnote w:id="133">
    <w:p w:rsidR="00111E65" w:rsidRPr="002F1C58" w:rsidRDefault="00111E65" w:rsidP="0061141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The language of the preamble specifically references the UNDHR, ICCSCR and the ICCPR, introducing in paragraph 8 indigenous peoples distinctive contributions to the concepts of cultural diversity and ecological harmony.</w:t>
      </w:r>
    </w:p>
  </w:footnote>
  <w:footnote w:id="134">
    <w:p w:rsidR="00111E65" w:rsidRPr="002F1C58" w:rsidRDefault="00111E65" w:rsidP="0061141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Article 16 (2) reads in full: </w:t>
      </w:r>
      <w:r w:rsidRPr="002F1C58">
        <w:rPr>
          <w:rFonts w:ascii="Times New Roman" w:hAnsi="Times New Roman" w:cs="Times New Roman"/>
          <w:sz w:val="24"/>
          <w:szCs w:val="24"/>
          <w:shd w:val="clear" w:color="auto" w:fill="FFFFFF"/>
          <w:vertAlign w:val="superscript"/>
        </w:rPr>
        <w:t xml:space="preserve">Where the relocation of these peoples is considered necessary as an exceptional measure, such relocation shall take place only with their free and informed consent. Where their consent cannot be obtained, such relocation shall take place only following appropriate procedures established by national laws and regulations, including public inquiries where appropriate, which provide the opportunity for effective representation of the peoples concerned, </w:t>
      </w:r>
      <w:r w:rsidRPr="002F1C58">
        <w:rPr>
          <w:rFonts w:ascii="Times New Roman" w:hAnsi="Times New Roman" w:cs="Times New Roman"/>
          <w:i/>
          <w:sz w:val="24"/>
          <w:szCs w:val="24"/>
          <w:shd w:val="clear" w:color="auto" w:fill="FFFFFF"/>
          <w:vertAlign w:val="superscript"/>
        </w:rPr>
        <w:t>Supra</w:t>
      </w:r>
      <w:r w:rsidRPr="002F1C58">
        <w:rPr>
          <w:rFonts w:ascii="Times New Roman" w:hAnsi="Times New Roman" w:cs="Times New Roman"/>
          <w:sz w:val="24"/>
          <w:szCs w:val="24"/>
          <w:shd w:val="clear" w:color="auto" w:fill="FFFFFF"/>
          <w:vertAlign w:val="superscript"/>
        </w:rPr>
        <w:t xml:space="preserve"> n.143 </w:t>
      </w:r>
    </w:p>
  </w:footnote>
  <w:footnote w:id="135">
    <w:p w:rsidR="00111E65" w:rsidRPr="002F1C58" w:rsidRDefault="00111E65" w:rsidP="00611414">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Supra n. 143</w:t>
      </w:r>
    </w:p>
  </w:footnote>
  <w:footnote w:id="136">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ILO Convention on Indigenous and Tribal Peoples, 1989 (169): A Manual. (2003) Geneva International Labour Office. P.44;  </w:t>
      </w:r>
    </w:p>
  </w:footnote>
  <w:footnote w:id="137">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The concept has since evolved to include prior consultation </w:t>
      </w:r>
    </w:p>
  </w:footnote>
  <w:footnote w:id="138">
    <w:p w:rsidR="00111E65" w:rsidRPr="002F1C58" w:rsidRDefault="00111E65" w:rsidP="00857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Tsilhqot’in Nation v. British Columbia</w:t>
      </w:r>
      <w:r w:rsidRPr="002F1C58">
        <w:rPr>
          <w:rFonts w:ascii="Times New Roman" w:hAnsi="Times New Roman" w:cs="Times New Roman"/>
          <w:sz w:val="24"/>
          <w:szCs w:val="24"/>
          <w:vertAlign w:val="superscript"/>
        </w:rPr>
        <w:t>, 2014 SCC 44 (CanLII)</w:t>
      </w:r>
    </w:p>
  </w:footnote>
  <w:footnote w:id="139">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 xml:space="preserve">Para.153 </w:t>
      </w:r>
    </w:p>
  </w:footnote>
  <w:footnote w:id="140">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The full document can be read here: http://unsr.jamesanaya.org/docs/data/Alta-outcome-document-june-2013.pdf –Accessed 24/09/2014 </w:t>
      </w:r>
    </w:p>
  </w:footnote>
  <w:footnote w:id="141">
    <w:p w:rsidR="00111E65" w:rsidRPr="002F1C58" w:rsidRDefault="00111E65" w:rsidP="000A0FF8">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Paragraph 3 reads in full: “Recommend that States, in keeping with Indigenous Peoples law, traditions, customs, and land tenure systems, and with the full, equal and effective participation of Indigenous Peoples, </w:t>
      </w:r>
    </w:p>
    <w:p w:rsidR="00111E65" w:rsidRPr="002F1C58" w:rsidRDefault="00111E65" w:rsidP="000A0FF8">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establish tribunals, commissions or other bodies with full judicial authority, to identify lands, </w:t>
      </w:r>
    </w:p>
    <w:p w:rsidR="00111E65" w:rsidRPr="002F1C58" w:rsidRDefault="00111E65" w:rsidP="000A0FF8">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territories and resources including lands taken without the free, prior and informed consent to </w:t>
      </w:r>
    </w:p>
    <w:p w:rsidR="00111E65" w:rsidRPr="002F1C58" w:rsidRDefault="00111E65" w:rsidP="000A0FF8">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which Indigenous Peoples have inherent rights through traditional ownership and/or use, </w:t>
      </w:r>
    </w:p>
    <w:p w:rsidR="00111E65" w:rsidRPr="002F1C58" w:rsidRDefault="00111E65" w:rsidP="000A0FF8">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including through delineation and demarcation, and to resolve disputes, including through the </w:t>
      </w:r>
    </w:p>
    <w:p w:rsidR="00111E65" w:rsidRPr="002F1C58" w:rsidRDefault="00111E65" w:rsidP="000A0FF8">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recovery of such lands, territories and resources. In all of the aforesaid situations, the laws, </w:t>
      </w:r>
    </w:p>
    <w:p w:rsidR="00111E65" w:rsidRPr="002F1C58" w:rsidRDefault="00111E65" w:rsidP="00C37A52">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customs and usages of Indigenous Peoples shall be recognized” See, Alta Outcome Document,</w:t>
      </w:r>
    </w:p>
    <w:p w:rsidR="00111E65" w:rsidRPr="002F1C58" w:rsidRDefault="00111E65" w:rsidP="00274442">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Global Indigenous Preparatory Conference for the United Nations High Level Plenary Meeting of the General Assembly to be known as the World Conference on Indigenous Peoples10 – 12 June 2013, Alta. </w:t>
      </w:r>
    </w:p>
  </w:footnote>
  <w:footnote w:id="142">
    <w:p w:rsidR="00111E65" w:rsidRPr="002F1C58" w:rsidRDefault="00111E65" w:rsidP="00C37A5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b/>
          <w:sz w:val="24"/>
          <w:szCs w:val="24"/>
        </w:rPr>
        <w:footnoteRef/>
      </w:r>
      <w:r w:rsidRPr="002F1C58">
        <w:rPr>
          <w:rFonts w:ascii="Times New Roman" w:hAnsi="Times New Roman" w:cs="Times New Roman"/>
          <w:sz w:val="24"/>
          <w:szCs w:val="24"/>
          <w:vertAlign w:val="superscript"/>
        </w:rPr>
        <w:t xml:space="preserve"> See full statement at, Canada’s Statement on the World Conference on Indigenous Peoples Outcome Document. Available at: http://nationtalk.ca/story/canadas-statement-on-the-world-conference-on-indigenous-peoples-outcome-document/-Accessed 24/09/2014 </w:t>
      </w:r>
    </w:p>
  </w:footnote>
  <w:footnote w:id="143">
    <w:p w:rsidR="00111E65" w:rsidRPr="002F1C58" w:rsidRDefault="00111E65" w:rsidP="00C37A52">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Paragraph 4 of the outcome document reads in full: Recommend that States comply with judicial pronouncements, decisions of national and international courts and recommendations of Treaty bodies and establish and provide adequate resources for effective redress for historical injustices in relation to Indigenous</w:t>
      </w:r>
    </w:p>
    <w:p w:rsidR="00111E65" w:rsidRPr="002F1C58" w:rsidRDefault="00111E65" w:rsidP="00C37A52">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Peoples’ lands, territories and natural resources. See above N 154, My italics </w:t>
      </w:r>
    </w:p>
  </w:footnote>
  <w:footnote w:id="144">
    <w:p w:rsidR="00111E65" w:rsidRPr="002F1C58" w:rsidRDefault="00111E65" w:rsidP="00857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Anaya n. 11 at  P. 59 </w:t>
      </w:r>
    </w:p>
  </w:footnote>
  <w:footnote w:id="145">
    <w:p w:rsidR="00111E65" w:rsidRPr="002F1C58" w:rsidRDefault="00111E65" w:rsidP="00857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Christian Courtis, “Notes on the Implementation by Latin American Courts</w:t>
      </w:r>
    </w:p>
    <w:p w:rsidR="00111E65" w:rsidRPr="002F1C58" w:rsidRDefault="00111E65" w:rsidP="00857580">
      <w:pPr>
        <w:pStyle w:val="NoSpacing"/>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of the ILO Convention 169 on Indigenous Peoples”, </w:t>
      </w:r>
      <w:r w:rsidRPr="002F1C58">
        <w:rPr>
          <w:rFonts w:ascii="Times New Roman" w:hAnsi="Times New Roman" w:cs="Times New Roman"/>
          <w:i/>
          <w:sz w:val="24"/>
          <w:szCs w:val="24"/>
          <w:vertAlign w:val="superscript"/>
        </w:rPr>
        <w:t>18 Int'l J. on Minority &amp; Group Rts. 433</w:t>
      </w:r>
      <w:r w:rsidRPr="002F1C58">
        <w:rPr>
          <w:rFonts w:ascii="Times New Roman" w:hAnsi="Times New Roman" w:cs="Times New Roman"/>
          <w:sz w:val="24"/>
          <w:szCs w:val="24"/>
          <w:vertAlign w:val="superscript"/>
        </w:rPr>
        <w:t xml:space="preserve"> 2011.P. 438 </w:t>
      </w:r>
    </w:p>
  </w:footnote>
  <w:footnote w:id="146">
    <w:p w:rsidR="00111E65" w:rsidRPr="002F1C58" w:rsidRDefault="00111E65" w:rsidP="00857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For full list see,  Ratifications of C169 - Indigenous and Tribal Peoples Convention, 1989 (No. 169) available at: Ratifications of C169 - Indigenous and Tribal Peoples Convention, 1989 (No. 169) www.ilo.org/dyn/normlex/en/f?p=NORMLEXPUB:11300:0::NO::P11300_INSTRUMENT_ID:312314 Accessed 23/09/2104 </w:t>
      </w:r>
    </w:p>
  </w:footnote>
  <w:footnote w:id="147">
    <w:p w:rsidR="00111E65" w:rsidRPr="002F1C58" w:rsidRDefault="00111E65" w:rsidP="0085758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above N 158 at P.437</w:t>
      </w:r>
    </w:p>
  </w:footnote>
  <w:footnote w:id="148">
    <w:p w:rsidR="00111E65" w:rsidRPr="002F1C58" w:rsidRDefault="00111E65" w:rsidP="002D4A0E">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See</w:t>
      </w:r>
      <w:r w:rsidRPr="002F1C58">
        <w:rPr>
          <w:rFonts w:ascii="Times New Roman" w:hAnsi="Times New Roman" w:cs="Times New Roman"/>
          <w:sz w:val="24"/>
          <w:szCs w:val="24"/>
          <w:vertAlign w:val="superscript"/>
        </w:rPr>
        <w:t xml:space="preserve">, Guidelines on Indigenous People’s Issues. </w:t>
      </w:r>
      <w:r w:rsidRPr="002F1C58">
        <w:rPr>
          <w:rFonts w:ascii="Times New Roman" w:hAnsi="Times New Roman" w:cs="Times New Roman"/>
          <w:i/>
          <w:sz w:val="24"/>
          <w:szCs w:val="24"/>
          <w:vertAlign w:val="superscript"/>
        </w:rPr>
        <w:t>United Nations Development Group</w:t>
      </w:r>
      <w:r w:rsidRPr="002F1C58">
        <w:rPr>
          <w:rFonts w:ascii="Times New Roman" w:hAnsi="Times New Roman" w:cs="Times New Roman"/>
          <w:sz w:val="24"/>
          <w:szCs w:val="24"/>
          <w:vertAlign w:val="superscript"/>
        </w:rPr>
        <w:t xml:space="preserve">.  2009. P.4. Available at: http://www.un.org/esa/socdev/unpfii/documents/UNDG_guidelines_EN.pdf. Accessed 2nd/ 09/2014; </w:t>
      </w:r>
    </w:p>
  </w:footnote>
  <w:footnote w:id="149">
    <w:p w:rsidR="00111E65" w:rsidRPr="002F1C58" w:rsidRDefault="00111E65" w:rsidP="002D4A0E">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 xml:space="preserve">at p. 25  </w:t>
      </w:r>
    </w:p>
  </w:footnote>
  <w:footnote w:id="150">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4 (Gilbert and Doyle) </w:t>
      </w:r>
    </w:p>
  </w:footnote>
  <w:footnote w:id="151">
    <w:p w:rsidR="00111E65" w:rsidRPr="002F1C58" w:rsidRDefault="00111E65" w:rsidP="001424F3">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for example, regarding displacement of pastoralists in Tibet, </w:t>
      </w:r>
      <w:r w:rsidRPr="002F1C58">
        <w:rPr>
          <w:rFonts w:ascii="Times New Roman" w:eastAsia="Times New Roman" w:hAnsi="Times New Roman" w:cs="Times New Roman"/>
          <w:sz w:val="24"/>
          <w:szCs w:val="24"/>
          <w:vertAlign w:val="superscript"/>
        </w:rPr>
        <w:t xml:space="preserve">Human Rights Watch. (2007) ‘No One Has the Liberty to Refuse’, Available at:  www.hrw.org/reports/2007/tibet0607-Accessed 26/09/2014             </w:t>
      </w:r>
    </w:p>
  </w:footnote>
  <w:footnote w:id="152">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UN Economic and Social Council (ECOSOC),</w:t>
      </w:r>
      <w:r w:rsidRPr="002F1C58">
        <w:rPr>
          <w:rStyle w:val="apple-converted-space"/>
          <w:rFonts w:ascii="Times New Roman" w:hAnsi="Times New Roman" w:cs="Times New Roman"/>
          <w:sz w:val="24"/>
          <w:szCs w:val="24"/>
          <w:vertAlign w:val="superscript"/>
        </w:rPr>
        <w:t> </w:t>
      </w:r>
      <w:r w:rsidRPr="002F1C58">
        <w:rPr>
          <w:rFonts w:ascii="Times New Roman" w:hAnsi="Times New Roman" w:cs="Times New Roman"/>
          <w:i/>
          <w:iCs/>
          <w:sz w:val="24"/>
          <w:szCs w:val="24"/>
          <w:vertAlign w:val="superscript"/>
        </w:rPr>
        <w:t>Guiding Principles on Internal Displacement</w:t>
      </w:r>
      <w:r w:rsidRPr="002F1C58">
        <w:rPr>
          <w:rFonts w:ascii="Times New Roman" w:hAnsi="Times New Roman" w:cs="Times New Roman"/>
          <w:sz w:val="24"/>
          <w:szCs w:val="24"/>
          <w:vertAlign w:val="superscript"/>
        </w:rPr>
        <w:t>, 22 July 1998, E/CN.4/1998/53/Add.2</w:t>
      </w:r>
    </w:p>
  </w:footnote>
  <w:footnote w:id="153">
    <w:p w:rsidR="00111E65" w:rsidRPr="002F1C58" w:rsidRDefault="00111E65" w:rsidP="001424F3">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Francis Deng, “Guiding Principles on Internal Displacement submitted by Francis Deng, Special Representative of the Secretary-General to the UN Commission on Human Rights” </w:t>
      </w:r>
      <w:r w:rsidRPr="002F1C58">
        <w:rPr>
          <w:rFonts w:ascii="Times New Roman" w:hAnsi="Times New Roman" w:cs="Times New Roman"/>
          <w:i/>
          <w:sz w:val="24"/>
          <w:szCs w:val="24"/>
          <w:vertAlign w:val="superscript"/>
        </w:rPr>
        <w:t>10 Int'l J. Refugee L. 563 1998</w:t>
      </w:r>
    </w:p>
  </w:footnote>
  <w:footnote w:id="154">
    <w:p w:rsidR="00111E65" w:rsidRPr="002F1C58" w:rsidRDefault="00111E65" w:rsidP="00BD4535">
      <w:pPr>
        <w:pStyle w:val="NoSpacing"/>
        <w:rPr>
          <w:rFonts w:ascii="Times New Roman" w:hAnsi="Times New Roman" w:cs="Times New Roman"/>
          <w:sz w:val="24"/>
          <w:szCs w:val="24"/>
          <w:vertAlign w:val="superscript"/>
          <w:lang w:val="es-E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w:t>
      </w:r>
      <w:r w:rsidRPr="002F1C58">
        <w:rPr>
          <w:rFonts w:ascii="Times New Roman" w:hAnsi="Times New Roman" w:cs="Times New Roman"/>
          <w:i/>
          <w:sz w:val="24"/>
          <w:szCs w:val="24"/>
          <w:vertAlign w:val="superscript"/>
          <w:lang w:val="es-ES"/>
        </w:rPr>
        <w:t>Supra</w:t>
      </w:r>
      <w:r w:rsidRPr="002F1C58">
        <w:rPr>
          <w:rFonts w:ascii="Times New Roman" w:hAnsi="Times New Roman" w:cs="Times New Roman"/>
          <w:sz w:val="24"/>
          <w:szCs w:val="24"/>
          <w:vertAlign w:val="superscript"/>
          <w:lang w:val="es-ES"/>
        </w:rPr>
        <w:t xml:space="preserve"> n. 166 P. 4</w:t>
      </w:r>
    </w:p>
  </w:footnote>
  <w:footnote w:id="155">
    <w:p w:rsidR="00111E65" w:rsidRPr="002F1C58" w:rsidRDefault="00111E65" w:rsidP="00BD4535">
      <w:pPr>
        <w:pStyle w:val="NoSpacing"/>
        <w:rPr>
          <w:rFonts w:ascii="Times New Roman" w:hAnsi="Times New Roman" w:cs="Times New Roman"/>
          <w:sz w:val="24"/>
          <w:szCs w:val="24"/>
          <w:vertAlign w:val="superscript"/>
          <w:lang w:val="es-E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w:t>
      </w:r>
      <w:r w:rsidRPr="002F1C58">
        <w:rPr>
          <w:rFonts w:ascii="Times New Roman" w:hAnsi="Times New Roman" w:cs="Times New Roman"/>
          <w:i/>
          <w:sz w:val="24"/>
          <w:szCs w:val="24"/>
          <w:vertAlign w:val="superscript"/>
          <w:lang w:val="es-ES"/>
        </w:rPr>
        <w:t xml:space="preserve">Ibid </w:t>
      </w:r>
      <w:r w:rsidRPr="002F1C58">
        <w:rPr>
          <w:rFonts w:ascii="Times New Roman" w:hAnsi="Times New Roman" w:cs="Times New Roman"/>
          <w:sz w:val="24"/>
          <w:szCs w:val="24"/>
          <w:vertAlign w:val="superscript"/>
          <w:lang w:val="es-ES"/>
        </w:rPr>
        <w:t>P. 5</w:t>
      </w:r>
      <w:r w:rsidRPr="002F1C58">
        <w:rPr>
          <w:rFonts w:ascii="Times New Roman" w:hAnsi="Times New Roman" w:cs="Times New Roman"/>
          <w:i/>
          <w:sz w:val="24"/>
          <w:szCs w:val="24"/>
          <w:vertAlign w:val="superscript"/>
          <w:lang w:val="es-ES"/>
        </w:rPr>
        <w:t xml:space="preserve"> </w:t>
      </w:r>
    </w:p>
  </w:footnote>
  <w:footnote w:id="156">
    <w:p w:rsidR="00111E65" w:rsidRPr="002F1C58" w:rsidRDefault="00111E65" w:rsidP="00BD45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ILO Art 16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143 </w:t>
      </w:r>
    </w:p>
  </w:footnote>
  <w:footnote w:id="157">
    <w:p w:rsidR="00111E65" w:rsidRPr="002F1C58" w:rsidRDefault="00111E65" w:rsidP="00BD4535">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Walter Kälin, “The Guiding Principles on Internal Displacement-Introduction”, </w:t>
      </w:r>
      <w:r w:rsidRPr="002F1C58">
        <w:rPr>
          <w:rFonts w:ascii="Times New Roman" w:hAnsi="Times New Roman" w:cs="Times New Roman"/>
          <w:i/>
          <w:sz w:val="24"/>
          <w:szCs w:val="24"/>
          <w:vertAlign w:val="superscript"/>
        </w:rPr>
        <w:t xml:space="preserve">10 Int'l J. Refugee L. 557 1998, at p. 561 </w:t>
      </w:r>
      <w:r w:rsidRPr="002F1C58">
        <w:rPr>
          <w:rFonts w:ascii="Times New Roman" w:hAnsi="Times New Roman" w:cs="Times New Roman"/>
          <w:sz w:val="24"/>
          <w:szCs w:val="24"/>
          <w:vertAlign w:val="superscript"/>
        </w:rPr>
        <w:t xml:space="preserve"> </w:t>
      </w:r>
    </w:p>
  </w:footnote>
  <w:footnote w:id="158">
    <w:p w:rsidR="00111E65" w:rsidRPr="002F1C58" w:rsidRDefault="00111E65" w:rsidP="00BD45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 UN. Doc A/HRC/13/21/ (5th Jan 2010) </w:t>
      </w:r>
    </w:p>
  </w:footnote>
  <w:footnote w:id="159">
    <w:p w:rsidR="00111E65" w:rsidRPr="002F1C58" w:rsidRDefault="00111E65" w:rsidP="00BD45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Global Figures, available at: http://www.internal-displacement.org/global-figures-Accessed 13/09/2014 </w:t>
      </w:r>
    </w:p>
  </w:footnote>
  <w:footnote w:id="160">
    <w:p w:rsidR="00111E65" w:rsidRPr="002F1C58" w:rsidRDefault="00111E65" w:rsidP="00BD45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“What is Forced Migration?” Available at: </w:t>
      </w:r>
      <w:hyperlink r:id="rId2" w:history="1">
        <w:r w:rsidRPr="002F1C58">
          <w:rPr>
            <w:rStyle w:val="Hyperlink"/>
            <w:rFonts w:ascii="Times New Roman" w:hAnsi="Times New Roman" w:cs="Times New Roman"/>
            <w:color w:val="auto"/>
            <w:sz w:val="24"/>
            <w:szCs w:val="24"/>
            <w:u w:val="none"/>
            <w:vertAlign w:val="superscript"/>
          </w:rPr>
          <w:t>www.forcedmigration.org/about/whatisfm</w:t>
        </w:r>
      </w:hyperlink>
      <w:r w:rsidRPr="002F1C58">
        <w:rPr>
          <w:rFonts w:ascii="Times New Roman" w:hAnsi="Times New Roman" w:cs="Times New Roman"/>
          <w:sz w:val="24"/>
          <w:szCs w:val="24"/>
          <w:vertAlign w:val="superscript"/>
        </w:rPr>
        <w:t xml:space="preserve">. Accessed 20/09/2014 </w:t>
      </w:r>
    </w:p>
  </w:footnote>
  <w:footnote w:id="161">
    <w:p w:rsidR="00111E65" w:rsidRPr="002F1C58" w:rsidRDefault="00111E65" w:rsidP="00BD4535">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“Minimising Development-Induced Displacement” Available at: </w:t>
      </w:r>
      <w:hyperlink r:id="rId3" w:history="1">
        <w:r w:rsidRPr="002F1C58">
          <w:rPr>
            <w:rStyle w:val="Hyperlink"/>
            <w:rFonts w:ascii="Times New Roman" w:hAnsi="Times New Roman" w:cs="Times New Roman"/>
            <w:color w:val="auto"/>
            <w:sz w:val="24"/>
            <w:szCs w:val="24"/>
            <w:u w:val="none"/>
            <w:vertAlign w:val="superscript"/>
          </w:rPr>
          <w:t>www.migrationpolicy.org/article/minimizing-development-induced-displacement</w:t>
        </w:r>
      </w:hyperlink>
      <w:r w:rsidRPr="002F1C58">
        <w:rPr>
          <w:rFonts w:ascii="Times New Roman" w:hAnsi="Times New Roman" w:cs="Times New Roman"/>
          <w:sz w:val="24"/>
          <w:szCs w:val="24"/>
          <w:vertAlign w:val="superscript"/>
        </w:rPr>
        <w:t xml:space="preserve">. Accessed 20/09/2014 </w:t>
      </w:r>
    </w:p>
  </w:footnote>
  <w:footnote w:id="162">
    <w:p w:rsidR="00111E65" w:rsidRPr="002F1C58" w:rsidRDefault="00111E65" w:rsidP="00BD4535">
      <w:pPr>
        <w:pStyle w:val="NoSpacing"/>
        <w:rPr>
          <w:rFonts w:ascii="Times New Roman" w:eastAsia="Times New Roman" w:hAnsi="Times New Roman" w:cs="Times New Roman"/>
          <w:kern w:val="36"/>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In 2006 the National Geographic reported that the Three Gorges Dam in China alone displaced over one million peoples, although this is a disputed number. Even if the final number is less, given the pace of dam building in China and India it is reasonable to presume that the figures for development-induced displacement since 2000 could quite easily be in the millions. See, “</w:t>
      </w:r>
      <w:r w:rsidRPr="002F1C58">
        <w:rPr>
          <w:rFonts w:ascii="Times New Roman" w:eastAsia="Times New Roman" w:hAnsi="Times New Roman" w:cs="Times New Roman"/>
          <w:kern w:val="36"/>
          <w:sz w:val="24"/>
          <w:szCs w:val="24"/>
          <w:vertAlign w:val="superscript"/>
        </w:rPr>
        <w:t>China's Three Gorges Dam, by the Numbers” available at:</w:t>
      </w:r>
      <w:r w:rsidRPr="002F1C58">
        <w:rPr>
          <w:rFonts w:ascii="Times New Roman" w:hAnsi="Times New Roman" w:cs="Times New Roman"/>
          <w:sz w:val="24"/>
          <w:szCs w:val="24"/>
          <w:vertAlign w:val="superscript"/>
        </w:rPr>
        <w:t xml:space="preserve"> </w:t>
      </w:r>
      <w:r w:rsidRPr="002F1C58">
        <w:rPr>
          <w:rFonts w:ascii="Times New Roman" w:eastAsia="Times New Roman" w:hAnsi="Times New Roman" w:cs="Times New Roman"/>
          <w:kern w:val="36"/>
          <w:sz w:val="24"/>
          <w:szCs w:val="24"/>
          <w:vertAlign w:val="superscript"/>
        </w:rPr>
        <w:t xml:space="preserve">http://news.nationalgeographic.com/news/2006/06/060609-gorges-dam_2.html-Accessed 27/09/2014  </w:t>
      </w:r>
    </w:p>
    <w:p w:rsidR="00111E65" w:rsidRPr="002F1C58" w:rsidRDefault="00111E65">
      <w:pPr>
        <w:pStyle w:val="FootnoteText"/>
        <w:rPr>
          <w:rFonts w:ascii="Times New Roman" w:hAnsi="Times New Roman" w:cs="Times New Roman"/>
          <w:sz w:val="24"/>
          <w:szCs w:val="24"/>
          <w:vertAlign w:val="superscript"/>
        </w:rPr>
      </w:pPr>
    </w:p>
  </w:footnote>
  <w:footnote w:id="163">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This of course is an assumption. Nation-States do not develop always for the good of all its citizens. Rather, in countries where the institutions of the state have been “captured” by minority elites based on either race, economics, or class, or a combination of all three, the state functions not for the good of all, but rather the opposite, the enrichment of the few. See for further discussion in the context of Bolivia,  Laurent Lacroix, “Indigenous territoriality and political agenda in Bolivia (1970-2010)” Available at: hal.archives-ouvertes.fr/docs/00/73/84/79/PDF/Lacroix_2012-Indigenous_territoriality_political_agenda_in_Bolivia.pdf-Accessed 10/09/2014</w:t>
      </w:r>
    </w:p>
  </w:footnote>
  <w:footnote w:id="164">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Victoria Tauli-Corpuz and Parshuram Tamang, “Oil Palm and Other Commercial Tree Plantations, Monocropping: Impacts on Indigenous Peoples’ Land Tenure and Resource Management Systems and Livelihoods.” E/C.19/2007/CRP.6, 7 May 2007</w:t>
      </w:r>
    </w:p>
  </w:footnote>
  <w:footnote w:id="165">
    <w:p w:rsidR="00111E65" w:rsidRPr="002F1C58" w:rsidRDefault="00111E65" w:rsidP="00CB3DE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“GUIDING PRINCIPLES ON INTERNAL DISPLACEMENT: ANNOTATIONS”, Studies in </w:t>
      </w:r>
      <w:r w:rsidRPr="002F1C58">
        <w:rPr>
          <w:rFonts w:ascii="Times New Roman" w:hAnsi="Times New Roman" w:cs="Times New Roman"/>
          <w:i/>
          <w:sz w:val="24"/>
          <w:szCs w:val="24"/>
          <w:vertAlign w:val="superscript"/>
        </w:rPr>
        <w:t>Transnational Legal Policy, No. 32</w:t>
      </w:r>
      <w:r w:rsidRPr="002F1C58">
        <w:rPr>
          <w:rFonts w:ascii="Times New Roman" w:hAnsi="Times New Roman" w:cs="Times New Roman"/>
          <w:sz w:val="24"/>
          <w:szCs w:val="24"/>
          <w:vertAlign w:val="superscript"/>
        </w:rPr>
        <w:t xml:space="preserve">  at p. 17</w:t>
      </w:r>
    </w:p>
  </w:footnote>
  <w:footnote w:id="166">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177</w:t>
      </w:r>
    </w:p>
  </w:footnote>
  <w:footnote w:id="167">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below Chapter 6 section 6.3  for discussion on the </w:t>
      </w:r>
      <w:r w:rsidRPr="002F1C58">
        <w:rPr>
          <w:rFonts w:ascii="Times New Roman" w:hAnsi="Times New Roman" w:cs="Times New Roman"/>
          <w:i/>
          <w:sz w:val="24"/>
          <w:szCs w:val="24"/>
          <w:vertAlign w:val="superscript"/>
        </w:rPr>
        <w:t xml:space="preserve">Yanomani case </w:t>
      </w:r>
    </w:p>
  </w:footnote>
  <w:footnote w:id="168">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chapter  6 for further below for discussion on this point, </w:t>
      </w:r>
      <w:r w:rsidRPr="002F1C58">
        <w:rPr>
          <w:rFonts w:ascii="Times New Roman" w:hAnsi="Times New Roman" w:cs="Times New Roman"/>
          <w:i/>
          <w:sz w:val="24"/>
          <w:szCs w:val="24"/>
          <w:shd w:val="clear" w:color="auto" w:fill="FFFFFF"/>
          <w:vertAlign w:val="superscript"/>
        </w:rPr>
        <w:t xml:space="preserve">Winterstein and others v France, </w:t>
      </w:r>
      <w:r w:rsidRPr="002F1C58">
        <w:rPr>
          <w:rStyle w:val="itemtitle"/>
          <w:rFonts w:ascii="Times New Roman" w:hAnsi="Times New Roman" w:cs="Times New Roman"/>
          <w:i/>
          <w:sz w:val="24"/>
          <w:szCs w:val="24"/>
          <w:vertAlign w:val="superscript"/>
        </w:rPr>
        <w:t xml:space="preserve">Sawhoyamaxa Indigenous Community of the Enxet-Lengua people v Paraguay, and </w:t>
      </w:r>
      <w:r w:rsidRPr="002F1C58">
        <w:rPr>
          <w:rFonts w:ascii="Times New Roman" w:hAnsi="Times New Roman" w:cs="Times New Roman"/>
          <w:bCs/>
          <w:i/>
          <w:color w:val="000000"/>
          <w:sz w:val="24"/>
          <w:szCs w:val="24"/>
          <w:shd w:val="clear" w:color="auto" w:fill="FFFFFF"/>
          <w:vertAlign w:val="superscript"/>
        </w:rPr>
        <w:t>The Mayagna (Sumo) Awas Tingni Community v. Nicaragua</w:t>
      </w:r>
    </w:p>
  </w:footnote>
  <w:footnote w:id="169">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Sean Avery, “</w:t>
      </w:r>
      <w:r w:rsidRPr="002F1C58">
        <w:rPr>
          <w:rFonts w:ascii="Times New Roman" w:hAnsi="Times New Roman" w:cs="Times New Roman"/>
          <w:i/>
          <w:sz w:val="24"/>
          <w:szCs w:val="24"/>
          <w:vertAlign w:val="superscript"/>
        </w:rPr>
        <w:t>Lake Turkana and the Lower Omo: Hydrological Impacts of Major Dam and Irrigations Developments</w:t>
      </w:r>
      <w:r w:rsidRPr="002F1C58">
        <w:rPr>
          <w:rFonts w:ascii="Times New Roman" w:hAnsi="Times New Roman" w:cs="Times New Roman"/>
          <w:sz w:val="24"/>
          <w:szCs w:val="24"/>
          <w:vertAlign w:val="superscript"/>
        </w:rPr>
        <w:t xml:space="preserve">” (2102) Volume 1 Report, African Studies Centre, University of Oxford; see also, for forced settlements of 500,000 pastoralists in the context of land clearances, and subsequent specific human rights violations, Human Rights Watch, “Ethiopia: Land, Water Grabs Devastate Communities, (2014) Available at: http://www.hrw.org/news/2014/02/18/ethiopia-land-water-grabs-devastate-communities-accessed 25/09/2104   </w:t>
      </w:r>
    </w:p>
  </w:footnote>
  <w:footnote w:id="170">
    <w:p w:rsidR="00111E65" w:rsidRPr="002F1C58" w:rsidRDefault="00111E65" w:rsidP="001424F3">
      <w:pPr>
        <w:pStyle w:val="NoSpacing"/>
        <w:rPr>
          <w:rFonts w:ascii="Times New Roman" w:hAnsi="Times New Roman" w:cs="Times New Roman"/>
          <w:b/>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Supra </w:t>
      </w:r>
      <w:r w:rsidRPr="002F1C58">
        <w:rPr>
          <w:rFonts w:ascii="Times New Roman" w:hAnsi="Times New Roman" w:cs="Times New Roman"/>
          <w:sz w:val="24"/>
          <w:szCs w:val="24"/>
          <w:vertAlign w:val="superscript"/>
        </w:rPr>
        <w:t>n. 179</w:t>
      </w:r>
      <w:r w:rsidRPr="002F1C58">
        <w:rPr>
          <w:rFonts w:ascii="Times New Roman" w:hAnsi="Times New Roman" w:cs="Times New Roman"/>
          <w:i/>
          <w:sz w:val="24"/>
          <w:szCs w:val="24"/>
          <w:vertAlign w:val="superscript"/>
        </w:rPr>
        <w:t xml:space="preserve"> </w:t>
      </w:r>
    </w:p>
  </w:footnote>
  <w:footnote w:id="171">
    <w:p w:rsidR="00111E65" w:rsidRPr="002F1C58" w:rsidRDefault="00111E65" w:rsidP="00E53460">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Thomas M. Franck.  “On Proportionality of Countermeasures in International Law” </w:t>
      </w:r>
      <w:r w:rsidRPr="002F1C58">
        <w:rPr>
          <w:rFonts w:ascii="Times New Roman" w:hAnsi="Times New Roman" w:cs="Times New Roman"/>
          <w:i/>
          <w:sz w:val="24"/>
          <w:szCs w:val="24"/>
          <w:vertAlign w:val="superscript"/>
        </w:rPr>
        <w:t>102 Am. J. Int'l L. 715 2008</w:t>
      </w:r>
    </w:p>
  </w:footnote>
  <w:footnote w:id="172">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United Nations, General Assembly </w:t>
      </w:r>
      <w:hyperlink r:id="rId4" w:history="1">
        <w:r w:rsidRPr="002F1C58">
          <w:rPr>
            <w:rStyle w:val="Hyperlink"/>
            <w:rFonts w:ascii="Times New Roman" w:hAnsi="Times New Roman" w:cs="Times New Roman"/>
            <w:color w:val="auto"/>
            <w:sz w:val="24"/>
            <w:szCs w:val="24"/>
            <w:u w:val="none"/>
            <w:vertAlign w:val="superscript"/>
          </w:rPr>
          <w:t>Report, Extractive industries and indigenous peoples. Report of the Special Rapporteur on the rights of indigenous peoples</w:t>
        </w:r>
      </w:hyperlink>
      <w:r w:rsidRPr="002F1C58">
        <w:rPr>
          <w:rFonts w:ascii="Times New Roman" w:hAnsi="Times New Roman" w:cs="Times New Roman"/>
          <w:sz w:val="24"/>
          <w:szCs w:val="24"/>
          <w:vertAlign w:val="superscript"/>
        </w:rPr>
        <w:t xml:space="preserve">. James Anaya, A/HRC/24/41 (2013). Paragraph 32 </w:t>
      </w:r>
    </w:p>
  </w:footnote>
  <w:footnote w:id="173">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GA Res 2200A, UN GAOR, 21st Session, UN Doc A/RES/2200 (16 Dec. 1966), 999 UNTS 172 (entered into force 23 Mar. 1976) </w:t>
      </w:r>
    </w:p>
  </w:footnote>
  <w:footnote w:id="174">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p>
  </w:footnote>
  <w:footnote w:id="175">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Articles 1-3, Genocide Convention </w:t>
      </w:r>
      <w:r w:rsidRPr="002F1C58">
        <w:rPr>
          <w:rFonts w:ascii="Times New Roman" w:hAnsi="Times New Roman" w:cs="Times New Roman"/>
          <w:sz w:val="24"/>
          <w:szCs w:val="24"/>
          <w:shd w:val="clear" w:color="auto" w:fill="FFFFFF"/>
          <w:vertAlign w:val="superscript"/>
        </w:rPr>
        <w:t>UN General Assembly, </w:t>
      </w:r>
      <w:r w:rsidRPr="002F1C58">
        <w:rPr>
          <w:rFonts w:ascii="Times New Roman" w:hAnsi="Times New Roman" w:cs="Times New Roman"/>
          <w:i/>
          <w:iCs/>
          <w:sz w:val="24"/>
          <w:szCs w:val="24"/>
          <w:shd w:val="clear" w:color="auto" w:fill="FFFFFF"/>
          <w:vertAlign w:val="superscript"/>
        </w:rPr>
        <w:t>Prevention and punishment of the crime of genocide</w:t>
      </w:r>
      <w:r w:rsidRPr="002F1C58">
        <w:rPr>
          <w:rFonts w:ascii="Times New Roman" w:hAnsi="Times New Roman" w:cs="Times New Roman"/>
          <w:sz w:val="24"/>
          <w:szCs w:val="24"/>
          <w:shd w:val="clear" w:color="auto" w:fill="FFFFFF"/>
          <w:vertAlign w:val="superscript"/>
        </w:rPr>
        <w:t xml:space="preserve">, 9 December 1948, A/RES/260, entered into force January 12, 1951 78 UNTS 277  </w:t>
      </w:r>
    </w:p>
  </w:footnote>
  <w:footnote w:id="176">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w:t>
      </w:r>
      <w:r w:rsidRPr="002F1C58">
        <w:rPr>
          <w:rFonts w:ascii="Times New Roman" w:hAnsi="Times New Roman" w:cs="Times New Roman"/>
          <w:i/>
          <w:sz w:val="24"/>
          <w:szCs w:val="24"/>
          <w:vertAlign w:val="superscript"/>
        </w:rPr>
        <w:t xml:space="preserve">supra </w:t>
      </w:r>
      <w:r w:rsidRPr="002F1C58">
        <w:rPr>
          <w:rFonts w:ascii="Times New Roman" w:hAnsi="Times New Roman" w:cs="Times New Roman"/>
          <w:sz w:val="24"/>
          <w:szCs w:val="24"/>
          <w:vertAlign w:val="superscript"/>
        </w:rPr>
        <w:t>n. 74</w:t>
      </w:r>
    </w:p>
  </w:footnote>
  <w:footnote w:id="177">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186</w:t>
      </w:r>
      <w:r w:rsidRPr="002F1C58">
        <w:rPr>
          <w:rFonts w:ascii="Times New Roman" w:hAnsi="Times New Roman" w:cs="Times New Roman"/>
          <w:i/>
          <w:sz w:val="24"/>
          <w:szCs w:val="24"/>
          <w:vertAlign w:val="superscript"/>
        </w:rPr>
        <w:t xml:space="preserve"> </w:t>
      </w:r>
      <w:r w:rsidRPr="002F1C58">
        <w:rPr>
          <w:rFonts w:ascii="Times New Roman" w:hAnsi="Times New Roman" w:cs="Times New Roman"/>
          <w:sz w:val="24"/>
          <w:szCs w:val="24"/>
          <w:vertAlign w:val="superscript"/>
        </w:rPr>
        <w:t xml:space="preserve"> </w:t>
      </w:r>
    </w:p>
  </w:footnote>
  <w:footnote w:id="178">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Article 11 (1) International Covenant on Economic, Social and Cultural Rights, GA Res 2200A, UN GAOR, 21st Sess., UN Doc A/6316 (16 Dec. 1966), 993 UNTS (1976) 3, entered into force 3 Jan. 1976; General Comment 7, Forced evictions, and the right to adequate housing, (Sixteenth session, 1997), U.N. Doc. E/1998/22, annex IV at 133</w:t>
      </w:r>
    </w:p>
  </w:footnote>
  <w:footnote w:id="179">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i/>
          <w:sz w:val="24"/>
          <w:szCs w:val="24"/>
          <w:vertAlign w:val="superscript"/>
        </w:rPr>
        <w:t xml:space="preserve"> Ibid</w:t>
      </w:r>
      <w:r w:rsidRPr="002F1C58">
        <w:rPr>
          <w:rFonts w:ascii="Times New Roman" w:hAnsi="Times New Roman" w:cs="Times New Roman"/>
          <w:sz w:val="24"/>
          <w:szCs w:val="24"/>
          <w:vertAlign w:val="superscript"/>
        </w:rPr>
        <w:t xml:space="preserve"> Article 2 (1) </w:t>
      </w:r>
    </w:p>
  </w:footnote>
  <w:footnote w:id="180">
    <w:p w:rsidR="00111E65" w:rsidRPr="002F1C58" w:rsidRDefault="00111E65" w:rsidP="00F3139D">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Declaration on the Rights of Indigenous Peoples, G.A. Res. 61/295, U.N. Doc. A/RES/61/295 Sept. 13, 2007</w:t>
      </w:r>
    </w:p>
  </w:footnote>
  <w:footnote w:id="181">
    <w:p w:rsidR="00111E65" w:rsidRPr="002F1C58" w:rsidRDefault="00111E65" w:rsidP="00F3139D">
      <w:pPr>
        <w:pStyle w:val="NoSpacing"/>
        <w:rPr>
          <w:rFonts w:ascii="Times New Roman" w:hAnsi="Times New Roman" w:cs="Times New Roman"/>
          <w:b/>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Four states voted against, Australia, New Zealand, Canada and the US. 11 states abstained including importantly Kenya, Russia and Colombia, all of whom have significant indigenous populations. See, http://undesadspd.org/indigenouspeoples/declarationontherightsofindigenouspeoples.aspx-Accessed 29/09/2014 </w:t>
      </w:r>
    </w:p>
  </w:footnote>
  <w:footnote w:id="182">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194</w:t>
      </w:r>
    </w:p>
  </w:footnote>
  <w:footnote w:id="183">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Article 12 (1)</w:t>
      </w:r>
    </w:p>
  </w:footnote>
  <w:footnote w:id="184">
    <w:p w:rsidR="00111E65" w:rsidRPr="002F1C58" w:rsidRDefault="00111E65" w:rsidP="00F3139D">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The ACHRP, a quasi-judicial body charged with interpreting the African Charter on Human Rights and Peoples Rights, has for example recently engaged specifically with development-induced displacement of the indigenous Endorois peoples and land rights, see </w:t>
      </w:r>
      <w:r w:rsidRPr="002F1C58">
        <w:rPr>
          <w:rFonts w:ascii="Times New Roman" w:hAnsi="Times New Roman" w:cs="Times New Roman"/>
          <w:i/>
          <w:sz w:val="24"/>
          <w:szCs w:val="24"/>
          <w:vertAlign w:val="superscript"/>
        </w:rPr>
        <w:t xml:space="preserve">supra </w:t>
      </w:r>
      <w:r w:rsidRPr="002F1C58">
        <w:rPr>
          <w:rFonts w:ascii="Times New Roman" w:hAnsi="Times New Roman" w:cs="Times New Roman"/>
          <w:sz w:val="24"/>
          <w:szCs w:val="24"/>
          <w:vertAlign w:val="superscript"/>
        </w:rPr>
        <w:t xml:space="preserve">N 10.  Relatedly, see KN Bojosi and G Mukundi Wachira, “Protecting Indigenous Peoples in Africa: An Analysis of the approach of the African Commission on Human and Peoples’ Rights’” (2006) </w:t>
      </w:r>
      <w:r w:rsidRPr="002F1C58">
        <w:rPr>
          <w:rFonts w:ascii="Times New Roman" w:hAnsi="Times New Roman" w:cs="Times New Roman"/>
          <w:i/>
          <w:sz w:val="24"/>
          <w:szCs w:val="24"/>
          <w:vertAlign w:val="superscript"/>
        </w:rPr>
        <w:t>6 African Human Rights Law Journal 382.</w:t>
      </w:r>
    </w:p>
  </w:footnote>
  <w:footnote w:id="185">
    <w:p w:rsidR="00111E65" w:rsidRPr="002F1C58" w:rsidRDefault="00111E65" w:rsidP="00F3139D">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Established by the United Nations HRC in 2007 under resolution 6/36 </w:t>
      </w:r>
    </w:p>
  </w:footnote>
  <w:footnote w:id="186">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Established in 2001 by the UN Human Rights Commission</w:t>
      </w:r>
    </w:p>
  </w:footnote>
  <w:footnote w:id="187">
    <w:p w:rsidR="00111E65" w:rsidRPr="002F1C58" w:rsidRDefault="00111E65" w:rsidP="00F3139D">
      <w:pPr>
        <w:pStyle w:val="NoSpacing"/>
        <w:rPr>
          <w:rFonts w:ascii="Times New Roman" w:eastAsia="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w:t>
      </w:r>
      <w:r w:rsidRPr="002F1C58">
        <w:rPr>
          <w:rFonts w:ascii="Times New Roman" w:eastAsia="Times New Roman" w:hAnsi="Times New Roman" w:cs="Times New Roman"/>
          <w:sz w:val="24"/>
          <w:szCs w:val="24"/>
          <w:vertAlign w:val="superscript"/>
        </w:rPr>
        <w:t xml:space="preserve">Special Rapporteur on the rights of indigenous peoples”, Office of the High Commissioner for Human Rights, Available at: www.ohchr.org/en/issues/ipeoples/srindigenouspeoples/pages/sripeoplesindex.aspx-accessed 28/07/2014 </w:t>
      </w:r>
    </w:p>
  </w:footnote>
  <w:footnote w:id="188">
    <w:p w:rsidR="00111E65" w:rsidRPr="002F1C58" w:rsidRDefault="00111E65" w:rsidP="00880CD3">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For discussion on this point on whether or not indigenous rights constitute a distinct body of rights see, Megan Davis, </w:t>
      </w:r>
      <w:r w:rsidRPr="002F1C58">
        <w:rPr>
          <w:rFonts w:ascii="Times New Roman" w:hAnsi="Times New Roman" w:cs="Times New Roman"/>
          <w:bCs/>
          <w:sz w:val="24"/>
          <w:szCs w:val="24"/>
          <w:vertAlign w:val="superscript"/>
        </w:rPr>
        <w:t xml:space="preserve">“To Bind or Not to Bind: The United Nations </w:t>
      </w:r>
      <w:r w:rsidRPr="002F1C58">
        <w:rPr>
          <w:rFonts w:ascii="Times New Roman" w:hAnsi="Times New Roman" w:cs="Times New Roman"/>
          <w:bCs/>
          <w:i/>
          <w:iCs/>
          <w:sz w:val="24"/>
          <w:szCs w:val="24"/>
          <w:vertAlign w:val="superscript"/>
        </w:rPr>
        <w:t xml:space="preserve">Declaration on </w:t>
      </w:r>
      <w:r w:rsidRPr="002F1C58">
        <w:rPr>
          <w:rFonts w:ascii="Times New Roman" w:hAnsi="Times New Roman" w:cs="Times New Roman"/>
          <w:i/>
          <w:iCs/>
          <w:sz w:val="24"/>
          <w:szCs w:val="24"/>
          <w:vertAlign w:val="superscript"/>
        </w:rPr>
        <w:t xml:space="preserve">the Rights of Indigenous Peoples </w:t>
      </w:r>
      <w:r w:rsidRPr="002F1C58">
        <w:rPr>
          <w:rFonts w:ascii="Times New Roman" w:hAnsi="Times New Roman" w:cs="Times New Roman"/>
          <w:bCs/>
          <w:sz w:val="24"/>
          <w:szCs w:val="24"/>
          <w:vertAlign w:val="superscript"/>
        </w:rPr>
        <w:t>Five Years On”. (</w:t>
      </w:r>
      <w:r w:rsidRPr="002F1C58">
        <w:rPr>
          <w:rFonts w:ascii="Times New Roman" w:hAnsi="Times New Roman" w:cs="Times New Roman"/>
          <w:sz w:val="24"/>
          <w:szCs w:val="24"/>
          <w:vertAlign w:val="superscript"/>
        </w:rPr>
        <w:t xml:space="preserve">2012) </w:t>
      </w:r>
      <w:r w:rsidRPr="002F1C58">
        <w:rPr>
          <w:rFonts w:ascii="Times New Roman" w:hAnsi="Times New Roman" w:cs="Times New Roman"/>
          <w:i/>
          <w:sz w:val="24"/>
          <w:szCs w:val="24"/>
          <w:vertAlign w:val="superscript"/>
        </w:rPr>
        <w:t>19 Austl. Int'l L.J. 17</w:t>
      </w:r>
      <w:r w:rsidRPr="002F1C58">
        <w:rPr>
          <w:rFonts w:ascii="Times New Roman" w:hAnsi="Times New Roman" w:cs="Times New Roman"/>
          <w:sz w:val="24"/>
          <w:szCs w:val="24"/>
          <w:vertAlign w:val="superscript"/>
        </w:rPr>
        <w:t xml:space="preserve"> Pp 26-30; see also, Jérémie Gilbert, “Indigenous Rights in the Making: The United Nations Declaration on the Rights of Indigenous Peoples”, (2007)</w:t>
      </w:r>
      <w:r w:rsidRPr="002F1C58">
        <w:rPr>
          <w:rFonts w:ascii="Times New Roman" w:hAnsi="Times New Roman" w:cs="Times New Roman"/>
          <w:i/>
          <w:sz w:val="24"/>
          <w:szCs w:val="24"/>
          <w:vertAlign w:val="superscript"/>
        </w:rPr>
        <w:t xml:space="preserve"> 14 Int'l J. on Minority &amp; Group Rts. 207</w:t>
      </w:r>
      <w:r w:rsidRPr="002F1C58">
        <w:rPr>
          <w:rFonts w:ascii="Times New Roman" w:hAnsi="Times New Roman" w:cs="Times New Roman"/>
          <w:sz w:val="24"/>
          <w:szCs w:val="24"/>
          <w:vertAlign w:val="superscript"/>
        </w:rPr>
        <w:t xml:space="preserve">. P. 209-210  </w:t>
      </w:r>
      <w:r w:rsidRPr="002F1C58">
        <w:rPr>
          <w:rFonts w:ascii="Times New Roman" w:hAnsi="Times New Roman" w:cs="Times New Roman"/>
          <w:i/>
          <w:sz w:val="24"/>
          <w:szCs w:val="24"/>
          <w:vertAlign w:val="superscript"/>
        </w:rPr>
        <w:t xml:space="preserve">(Make sure all journal articles year after title </w:t>
      </w:r>
    </w:p>
  </w:footnote>
  <w:footnote w:id="189">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article 36 of the Declaration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194 on the right of indigenous peoples to maintain and develop cross border contacts, including spiritual and economic contacts with fellow members of their peoples, and other indigenous peoples.</w:t>
      </w:r>
    </w:p>
  </w:footnote>
  <w:footnote w:id="190">
    <w:p w:rsidR="00111E65" w:rsidRPr="002F1C58" w:rsidRDefault="00111E65" w:rsidP="00FC5CB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Article 1 of the Declaration declares that, “Indigenous peoples have the right to the full enjoyment, as a collective or as individuals, of all human rights and fundamental freedoms.</w:t>
      </w:r>
    </w:p>
  </w:footnote>
  <w:footnote w:id="191">
    <w:p w:rsidR="00111E65" w:rsidRPr="002F1C58" w:rsidRDefault="00111E65" w:rsidP="00FC5CB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James Anaya, “The Human Rights of Indigenous Peoples: United Nations Developments”,</w:t>
      </w:r>
      <w:r w:rsidRPr="002F1C58">
        <w:rPr>
          <w:rFonts w:ascii="Times New Roman" w:hAnsi="Times New Roman" w:cs="Times New Roman"/>
          <w:i/>
          <w:sz w:val="24"/>
          <w:szCs w:val="24"/>
          <w:vertAlign w:val="superscript"/>
        </w:rPr>
        <w:t xml:space="preserve"> 35 U. Haw. L. Rev. 983 2013</w:t>
      </w:r>
      <w:r w:rsidRPr="002F1C58">
        <w:rPr>
          <w:rFonts w:ascii="Times New Roman" w:hAnsi="Times New Roman" w:cs="Times New Roman"/>
          <w:sz w:val="24"/>
          <w:szCs w:val="24"/>
          <w:vertAlign w:val="superscript"/>
        </w:rPr>
        <w:t xml:space="preserve">. P. 998 </w:t>
      </w:r>
    </w:p>
  </w:footnote>
  <w:footnote w:id="192">
    <w:p w:rsidR="00111E65" w:rsidRPr="002F1C58" w:rsidRDefault="00111E65" w:rsidP="00FC5CB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Karen Engle, </w:t>
      </w:r>
      <w:r w:rsidRPr="002F1C58">
        <w:rPr>
          <w:rFonts w:ascii="Times New Roman" w:hAnsi="Times New Roman" w:cs="Times New Roman"/>
          <w:i/>
          <w:iCs/>
          <w:sz w:val="24"/>
          <w:szCs w:val="24"/>
          <w:vertAlign w:val="superscript"/>
        </w:rPr>
        <w:t xml:space="preserve">The Elusive Promise </w:t>
      </w:r>
      <w:r w:rsidRPr="002F1C58">
        <w:rPr>
          <w:rFonts w:ascii="Times New Roman" w:hAnsi="Times New Roman" w:cs="Times New Roman"/>
          <w:bCs/>
          <w:i/>
          <w:iCs/>
          <w:sz w:val="24"/>
          <w:szCs w:val="24"/>
          <w:vertAlign w:val="superscript"/>
        </w:rPr>
        <w:t>of indigenous</w:t>
      </w:r>
      <w:r w:rsidRPr="002F1C58">
        <w:rPr>
          <w:rFonts w:ascii="Times New Roman" w:hAnsi="Times New Roman" w:cs="Times New Roman"/>
          <w:b/>
          <w:bCs/>
          <w:i/>
          <w:iCs/>
          <w:sz w:val="24"/>
          <w:szCs w:val="24"/>
          <w:vertAlign w:val="superscript"/>
        </w:rPr>
        <w:t xml:space="preserve"> </w:t>
      </w:r>
      <w:r w:rsidRPr="002F1C58">
        <w:rPr>
          <w:rFonts w:ascii="Times New Roman" w:hAnsi="Times New Roman" w:cs="Times New Roman"/>
          <w:i/>
          <w:iCs/>
          <w:sz w:val="24"/>
          <w:szCs w:val="24"/>
          <w:vertAlign w:val="superscript"/>
        </w:rPr>
        <w:t xml:space="preserve">Development: Rights, Culture, and Strategy, </w:t>
      </w:r>
      <w:r w:rsidRPr="002F1C58">
        <w:rPr>
          <w:rFonts w:ascii="Times New Roman" w:hAnsi="Times New Roman" w:cs="Times New Roman"/>
          <w:sz w:val="24"/>
          <w:szCs w:val="24"/>
          <w:vertAlign w:val="superscript"/>
        </w:rPr>
        <w:t xml:space="preserve">Duke University Press, (2010) P.147 </w:t>
      </w:r>
    </w:p>
  </w:footnote>
  <w:footnote w:id="193">
    <w:p w:rsidR="00111E65" w:rsidRPr="002F1C58" w:rsidRDefault="00111E65" w:rsidP="00FC5CB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Kathy Bowrey, “Law and Its Confinement: Reflections on Trevor Nickolls Brush with the Lore”, (2011) 20 </w:t>
      </w:r>
      <w:r w:rsidRPr="002F1C58">
        <w:rPr>
          <w:rFonts w:ascii="Times New Roman" w:hAnsi="Times New Roman" w:cs="Times New Roman"/>
          <w:i/>
          <w:iCs/>
          <w:sz w:val="24"/>
          <w:szCs w:val="24"/>
          <w:vertAlign w:val="superscript"/>
        </w:rPr>
        <w:t xml:space="preserve">Griffith Ln Review </w:t>
      </w:r>
      <w:r w:rsidRPr="002F1C58">
        <w:rPr>
          <w:rFonts w:ascii="Times New Roman" w:hAnsi="Times New Roman" w:cs="Times New Roman"/>
          <w:bCs/>
          <w:sz w:val="24"/>
          <w:szCs w:val="24"/>
          <w:vertAlign w:val="superscript"/>
        </w:rPr>
        <w:t xml:space="preserve">729. P. 743 </w:t>
      </w:r>
    </w:p>
  </w:footnote>
  <w:footnote w:id="194">
    <w:p w:rsidR="00111E65" w:rsidRPr="002F1C58" w:rsidRDefault="00111E65" w:rsidP="00FC5CB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UNDRIP, similar to the UN Declaration on Human Rights, may at some point be regarded as international customary law in that the content of its provisions may act as a guide in the interpretation of domestic laws.  The provisions of the Declaration may in time also reflect and influence patterns of government and international governance practise. See Art 38 (1) (b)  </w:t>
      </w:r>
      <w:r w:rsidRPr="002F1C58">
        <w:rPr>
          <w:rStyle w:val="apple-converted-space"/>
          <w:rFonts w:ascii="Times New Roman" w:hAnsi="Times New Roman" w:cs="Times New Roman"/>
          <w:color w:val="000000"/>
          <w:sz w:val="24"/>
          <w:szCs w:val="24"/>
          <w:shd w:val="clear" w:color="auto" w:fill="FFFFFF"/>
          <w:vertAlign w:val="superscript"/>
        </w:rPr>
        <w:t> </w:t>
      </w:r>
      <w:r w:rsidRPr="002F1C58">
        <w:rPr>
          <w:rFonts w:ascii="Times New Roman" w:hAnsi="Times New Roman" w:cs="Times New Roman"/>
          <w:color w:val="000000"/>
          <w:sz w:val="24"/>
          <w:szCs w:val="24"/>
          <w:shd w:val="clear" w:color="auto" w:fill="FFFFFF"/>
          <w:vertAlign w:val="superscript"/>
        </w:rPr>
        <w:t>international custom, as evidence of a general practice accepted as law, and (c) general principles of law recognized by civilized nations, Statute of the International Court of Justice, 1945-10-24, 39 AJIL Supp. 215 (1945); See</w:t>
      </w:r>
      <w:r w:rsidRPr="002F1C58">
        <w:rPr>
          <w:rFonts w:ascii="Times New Roman" w:hAnsi="Times New Roman" w:cs="Times New Roman"/>
          <w:i/>
          <w:color w:val="000000"/>
          <w:sz w:val="24"/>
          <w:szCs w:val="24"/>
          <w:shd w:val="clear" w:color="auto" w:fill="FFFFFF"/>
          <w:vertAlign w:val="superscript"/>
        </w:rPr>
        <w:t xml:space="preserve"> </w:t>
      </w:r>
      <w:r w:rsidRPr="002F1C58">
        <w:rPr>
          <w:rFonts w:ascii="Times New Roman" w:hAnsi="Times New Roman" w:cs="Times New Roman"/>
          <w:color w:val="000000"/>
          <w:sz w:val="24"/>
          <w:szCs w:val="24"/>
          <w:shd w:val="clear" w:color="auto" w:fill="FFFFFF"/>
          <w:vertAlign w:val="superscript"/>
        </w:rPr>
        <w:t xml:space="preserve">also </w:t>
      </w:r>
      <w:r w:rsidRPr="002F1C58">
        <w:rPr>
          <w:rFonts w:ascii="Times New Roman" w:hAnsi="Times New Roman" w:cs="Times New Roman"/>
          <w:i/>
          <w:color w:val="000000"/>
          <w:sz w:val="24"/>
          <w:szCs w:val="24"/>
          <w:shd w:val="clear" w:color="auto" w:fill="FFFFFF"/>
          <w:vertAlign w:val="superscript"/>
        </w:rPr>
        <w:t>supra</w:t>
      </w:r>
      <w:r w:rsidRPr="002F1C58">
        <w:rPr>
          <w:rFonts w:ascii="Times New Roman" w:hAnsi="Times New Roman" w:cs="Times New Roman"/>
          <w:color w:val="000000"/>
          <w:sz w:val="24"/>
          <w:szCs w:val="24"/>
          <w:shd w:val="clear" w:color="auto" w:fill="FFFFFF"/>
          <w:vertAlign w:val="superscript"/>
        </w:rPr>
        <w:t xml:space="preserve"> n.12 (Anaya) at Pp. 61-63 for a discussion on indigenous rights as an emerging body of law and the potential of this body of law to give rise to new  international customary law</w:t>
      </w:r>
      <w:r w:rsidRPr="002F1C58">
        <w:rPr>
          <w:rFonts w:ascii="Times New Roman" w:hAnsi="Times New Roman" w:cs="Times New Roman"/>
          <w:color w:val="000000"/>
          <w:sz w:val="24"/>
          <w:szCs w:val="24"/>
          <w:shd w:val="clear" w:color="auto" w:fill="FFFFFF"/>
          <w:vertAlign w:val="superscript"/>
        </w:rPr>
        <w:tab/>
        <w:t xml:space="preserve"> </w:t>
      </w:r>
      <w:r w:rsidRPr="002F1C58">
        <w:rPr>
          <w:rFonts w:ascii="Times New Roman" w:hAnsi="Times New Roman" w:cs="Times New Roman"/>
          <w:sz w:val="24"/>
          <w:szCs w:val="24"/>
          <w:vertAlign w:val="superscript"/>
        </w:rPr>
        <w:t xml:space="preserve">  </w:t>
      </w:r>
    </w:p>
  </w:footnote>
  <w:footnote w:id="195">
    <w:p w:rsidR="00111E65" w:rsidRPr="002F1C58" w:rsidRDefault="00111E65" w:rsidP="00B80D1E">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Cs/>
          <w:sz w:val="24"/>
          <w:szCs w:val="24"/>
          <w:vertAlign w:val="superscript"/>
        </w:rPr>
        <w:t xml:space="preserve">Serial </w:t>
      </w:r>
      <w:r w:rsidRPr="002F1C58">
        <w:rPr>
          <w:rFonts w:ascii="Times New Roman" w:hAnsi="Times New Roman" w:cs="Times New Roman"/>
          <w:bCs/>
          <w:sz w:val="24"/>
          <w:szCs w:val="24"/>
          <w:vertAlign w:val="superscript"/>
        </w:rPr>
        <w:t xml:space="preserve">C, </w:t>
      </w:r>
      <w:r w:rsidRPr="002F1C58">
        <w:rPr>
          <w:rFonts w:ascii="Times New Roman" w:hAnsi="Times New Roman" w:cs="Times New Roman"/>
          <w:sz w:val="24"/>
          <w:szCs w:val="24"/>
          <w:vertAlign w:val="superscript"/>
        </w:rPr>
        <w:t xml:space="preserve">No </w:t>
      </w:r>
      <w:r w:rsidRPr="002F1C58">
        <w:rPr>
          <w:rFonts w:ascii="Times New Roman" w:hAnsi="Times New Roman" w:cs="Times New Roman"/>
          <w:bCs/>
          <w:sz w:val="24"/>
          <w:szCs w:val="24"/>
          <w:vertAlign w:val="superscript"/>
        </w:rPr>
        <w:t xml:space="preserve">172, </w:t>
      </w:r>
      <w:r w:rsidRPr="002F1C58">
        <w:rPr>
          <w:rFonts w:ascii="Times New Roman" w:hAnsi="Times New Roman" w:cs="Times New Roman"/>
          <w:bCs/>
          <w:iCs/>
          <w:sz w:val="24"/>
          <w:szCs w:val="24"/>
          <w:vertAlign w:val="superscript"/>
        </w:rPr>
        <w:t xml:space="preserve">28 </w:t>
      </w:r>
      <w:r w:rsidRPr="002F1C58">
        <w:rPr>
          <w:rFonts w:ascii="Times New Roman" w:hAnsi="Times New Roman" w:cs="Times New Roman"/>
          <w:sz w:val="24"/>
          <w:szCs w:val="24"/>
          <w:vertAlign w:val="superscript"/>
        </w:rPr>
        <w:t xml:space="preserve">November </w:t>
      </w:r>
      <w:r w:rsidRPr="002F1C58">
        <w:rPr>
          <w:rFonts w:ascii="Times New Roman" w:hAnsi="Times New Roman" w:cs="Times New Roman"/>
          <w:iCs/>
          <w:sz w:val="24"/>
          <w:szCs w:val="24"/>
          <w:vertAlign w:val="superscript"/>
        </w:rPr>
        <w:t>2007).Para. 138</w:t>
      </w:r>
    </w:p>
  </w:footnote>
  <w:footnote w:id="196">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194</w:t>
      </w:r>
    </w:p>
  </w:footnote>
  <w:footnote w:id="197">
    <w:p w:rsidR="00111E65" w:rsidRPr="002F1C58" w:rsidRDefault="00111E65" w:rsidP="00943C42">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194 </w:t>
      </w:r>
    </w:p>
  </w:footnote>
  <w:footnote w:id="198">
    <w:p w:rsidR="00111E65" w:rsidRPr="002F1C58" w:rsidRDefault="00111E65" w:rsidP="001424F3">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p>
  </w:footnote>
  <w:footnote w:id="199">
    <w:p w:rsidR="00111E65" w:rsidRPr="002F1C58" w:rsidRDefault="00111E65" w:rsidP="004B5B9B">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Mattias Ahrén, “The Provisions on Lands, Territories and Natural Resources in the UN Declaration on the Rights Indigenous Peoples: an Introduction.” Pp.206-211 In Claire Charters and Rodolfo Stavenhagen (eds), Making the Declaration Work: The United Nations Declaration on the Rights of Indigenous Peoples (IWGIA  2009) </w:t>
      </w:r>
    </w:p>
  </w:footnote>
  <w:footnote w:id="200">
    <w:p w:rsidR="00111E65" w:rsidRPr="002F1C58" w:rsidRDefault="00111E65" w:rsidP="004B5B9B">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“What is Eminent Domain?” Available at: </w:t>
      </w:r>
      <w:r w:rsidRPr="002F1C58">
        <w:rPr>
          <w:rFonts w:ascii="Times New Roman" w:hAnsi="Times New Roman" w:cs="Times New Roman"/>
          <w:sz w:val="24"/>
          <w:szCs w:val="24"/>
          <w:shd w:val="clear" w:color="auto" w:fill="FFFFFF"/>
          <w:vertAlign w:val="superscript"/>
        </w:rPr>
        <w:t>www.columbia.edu/cu/cssn/expansion/infosheets/</w:t>
      </w:r>
      <w:r w:rsidRPr="002F1C58">
        <w:rPr>
          <w:rFonts w:ascii="Times New Roman" w:hAnsi="Times New Roman" w:cs="Times New Roman"/>
          <w:bCs/>
          <w:sz w:val="24"/>
          <w:szCs w:val="24"/>
          <w:shd w:val="clear" w:color="auto" w:fill="FFFFFF"/>
          <w:vertAlign w:val="superscript"/>
        </w:rPr>
        <w:t>eminentdomain</w:t>
      </w:r>
      <w:r w:rsidRPr="002F1C58">
        <w:rPr>
          <w:rFonts w:ascii="Times New Roman" w:hAnsi="Times New Roman" w:cs="Times New Roman"/>
          <w:sz w:val="24"/>
          <w:szCs w:val="24"/>
          <w:shd w:val="clear" w:color="auto" w:fill="FFFFFF"/>
          <w:vertAlign w:val="superscript"/>
        </w:rPr>
        <w:t xml:space="preserve">.pdf-Accessed 26/09/2014 </w:t>
      </w:r>
    </w:p>
  </w:footnote>
  <w:footnote w:id="201">
    <w:p w:rsidR="00111E65" w:rsidRPr="002F1C58" w:rsidRDefault="00111E65" w:rsidP="00FF3D4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e.g.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n.183</w:t>
      </w:r>
    </w:p>
  </w:footnote>
  <w:footnote w:id="202">
    <w:p w:rsidR="00111E65" w:rsidRPr="002F1C58" w:rsidRDefault="00111E65" w:rsidP="00FF3D4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generally for example, for discussion on current economic and commercial threats to traditional knowledge systems, Gurdial Singh Nijar, “Traditional Knowledge Systems, International Law and National Challenges: Marginalization or Emancipation?”</w:t>
      </w:r>
      <w:r w:rsidRPr="002F1C58">
        <w:rPr>
          <w:rFonts w:ascii="Times New Roman" w:hAnsi="Times New Roman" w:cs="Times New Roman"/>
          <w:i/>
          <w:sz w:val="24"/>
          <w:szCs w:val="24"/>
          <w:vertAlign w:val="superscript"/>
        </w:rPr>
        <w:t xml:space="preserve"> </w:t>
      </w:r>
      <w:r w:rsidRPr="002F1C58">
        <w:rPr>
          <w:rFonts w:ascii="Times New Roman" w:hAnsi="Times New Roman" w:cs="Times New Roman"/>
          <w:sz w:val="24"/>
          <w:szCs w:val="24"/>
          <w:vertAlign w:val="superscript"/>
        </w:rPr>
        <w:t xml:space="preserve">(2103) </w:t>
      </w:r>
      <w:r w:rsidRPr="002F1C58">
        <w:rPr>
          <w:rFonts w:ascii="Times New Roman" w:hAnsi="Times New Roman" w:cs="Times New Roman"/>
          <w:i/>
          <w:sz w:val="24"/>
          <w:szCs w:val="24"/>
          <w:vertAlign w:val="superscript"/>
        </w:rPr>
        <w:t>Eur J Int Law 24 (4): 1205</w:t>
      </w:r>
    </w:p>
  </w:footnote>
  <w:footnote w:id="203">
    <w:p w:rsidR="00111E65" w:rsidRPr="002F1C58" w:rsidRDefault="00111E65" w:rsidP="00FF3D4A">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Increasingly, private non-state parties also have human rights obligations. This is of particular resonance in relation to indigenous peoples, whose lands third parties such as mining transnational   Ruggie principles </w:t>
      </w:r>
    </w:p>
  </w:footnote>
  <w:footnote w:id="204">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14 </w:t>
      </w:r>
    </w:p>
  </w:footnote>
  <w:footnote w:id="205">
    <w:p w:rsidR="00111E65" w:rsidRPr="002F1C58" w:rsidRDefault="00111E65">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76 </w:t>
      </w:r>
    </w:p>
  </w:footnote>
  <w:footnote w:id="206">
    <w:p w:rsidR="00111E65" w:rsidRPr="002F1C58" w:rsidRDefault="00111E65" w:rsidP="007F472C">
      <w:pPr>
        <w:pStyle w:val="NoSpacing"/>
        <w:rPr>
          <w:rFonts w:ascii="Times New Roman" w:hAnsi="Times New Roman" w:cs="Times New Roman"/>
          <w:sz w:val="24"/>
          <w:szCs w:val="24"/>
          <w:shd w:val="clear" w:color="auto" w:fill="FFFFFF"/>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ECtHR 27013/07, 17 </w:t>
      </w:r>
    </w:p>
  </w:footnote>
  <w:footnote w:id="207">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Article 8 (2) of the Convention states:  </w:t>
      </w:r>
      <w:r w:rsidRPr="002F1C58">
        <w:rPr>
          <w:rFonts w:ascii="Times New Roman" w:hAnsi="Times New Roman" w:cs="Times New Roman"/>
          <w:color w:val="000000"/>
          <w:sz w:val="24"/>
          <w:szCs w:val="24"/>
          <w:shd w:val="clear" w:color="auto" w:fill="FFFFFF"/>
          <w:vertAlign w:val="superscript"/>
        </w:rPr>
        <w:t xml:space="preserve">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w:t>
      </w:r>
      <w:r w:rsidRPr="002F1C58">
        <w:rPr>
          <w:rFonts w:ascii="Times New Roman" w:hAnsi="Times New Roman" w:cs="Times New Roman"/>
          <w:i/>
          <w:iCs/>
          <w:sz w:val="24"/>
          <w:szCs w:val="24"/>
          <w:vertAlign w:val="superscript"/>
        </w:rPr>
        <w:t>European Convention for the Protection of Human Rights and Fundamental Freedoms, as amended by Protocols Nos. 11 and 14</w:t>
      </w:r>
      <w:r w:rsidRPr="002F1C58">
        <w:rPr>
          <w:rFonts w:ascii="Times New Roman" w:hAnsi="Times New Roman" w:cs="Times New Roman"/>
          <w:sz w:val="24"/>
          <w:szCs w:val="24"/>
          <w:vertAlign w:val="superscript"/>
        </w:rPr>
        <w:t xml:space="preserve">, 4 November 1950, ETS </w:t>
      </w:r>
    </w:p>
  </w:footnote>
  <w:footnote w:id="208">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Supra N 97 Para 16-17</w:t>
      </w:r>
    </w:p>
  </w:footnote>
  <w:footnote w:id="209">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European Court of Human Rights Press. “The eviction of travellers from land on which they had been settled for many years breached their right to respect for their private and family lives and their homes.” P.2 </w:t>
      </w:r>
    </w:p>
  </w:footnote>
  <w:footnote w:id="210">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Ibid at P. 3 </w:t>
      </w:r>
    </w:p>
  </w:footnote>
  <w:footnote w:id="211">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i/>
          <w:sz w:val="24"/>
          <w:szCs w:val="24"/>
          <w:vertAlign w:val="superscript"/>
        </w:rPr>
        <w:t xml:space="preserve"> Supra</w:t>
      </w:r>
      <w:r w:rsidRPr="002F1C58">
        <w:rPr>
          <w:rFonts w:ascii="Times New Roman" w:hAnsi="Times New Roman" w:cs="Times New Roman"/>
          <w:sz w:val="24"/>
          <w:szCs w:val="24"/>
          <w:vertAlign w:val="superscript"/>
        </w:rPr>
        <w:t xml:space="preserve"> n.221 at Para 88 </w:t>
      </w:r>
    </w:p>
  </w:footnote>
  <w:footnote w:id="212">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“Advancing Indigenous Peoples' Rights in Ecuador : The State of Indigenous Rights in Ecuador”, (2011)  Available at: http://amazonwatch.org/work/advancing-indigenous-peoples-rights-in-ecuador-accessed 19/09/2014</w:t>
      </w:r>
    </w:p>
  </w:footnote>
  <w:footnote w:id="213">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for example, Carlos Larrea and Lavinia Warnars, “The Ecuador's Yasuni-ITT Initiative: Avoiding emissions by keeping petroleum underground.” </w:t>
      </w:r>
      <w:r w:rsidRPr="002F1C58">
        <w:rPr>
          <w:rFonts w:ascii="Times New Roman" w:hAnsi="Times New Roman" w:cs="Times New Roman"/>
          <w:i/>
          <w:sz w:val="24"/>
          <w:szCs w:val="24"/>
          <w:vertAlign w:val="superscript"/>
        </w:rPr>
        <w:t>Energy for Sustainable Development 13 (2009) 219–223</w:t>
      </w:r>
    </w:p>
  </w:footnote>
  <w:footnote w:id="214">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See, David Hill, </w:t>
      </w:r>
      <w:r w:rsidRPr="002F1C58">
        <w:rPr>
          <w:rFonts w:ascii="Times New Roman" w:hAnsi="Times New Roman" w:cs="Times New Roman"/>
          <w:bCs/>
          <w:sz w:val="24"/>
          <w:szCs w:val="24"/>
          <w:vertAlign w:val="superscript"/>
        </w:rPr>
        <w:t xml:space="preserve">“Leaked documents cast doubt on Ecuador's commitment to forest plan” (2014) Available at: </w:t>
      </w:r>
      <w:r w:rsidRPr="002F1C58">
        <w:rPr>
          <w:rFonts w:ascii="Times New Roman" w:hAnsi="Times New Roman" w:cs="Times New Roman"/>
          <w:sz w:val="24"/>
          <w:szCs w:val="24"/>
          <w:vertAlign w:val="superscript"/>
        </w:rPr>
        <w:t>http://www.theguardian.com/environment/2014/jul/02/ecuador-power-plant-yasuni-national-park-documents</w:t>
      </w:r>
      <w:r w:rsidRPr="002F1C58">
        <w:rPr>
          <w:rFonts w:ascii="Times New Roman" w:hAnsi="Times New Roman" w:cs="Times New Roman"/>
          <w:bCs/>
          <w:sz w:val="24"/>
          <w:szCs w:val="24"/>
          <w:vertAlign w:val="superscript"/>
        </w:rPr>
        <w:t xml:space="preserve">. Accessed 13/08/2014 </w:t>
      </w:r>
    </w:p>
  </w:footnote>
  <w:footnote w:id="215">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eastAsia="Times New Roman" w:hAnsi="Times New Roman" w:cs="Times New Roman"/>
          <w:bCs/>
          <w:kern w:val="36"/>
          <w:sz w:val="24"/>
          <w:szCs w:val="24"/>
          <w:vertAlign w:val="superscript"/>
        </w:rPr>
        <w:t>Rights and Responsibility: The Failure of Yasuní-ITT and What it Means for Ecuador’s Indigenous Peoples” Available at: http://amazonwatch.org/news/2013/0825-rights-and-responsibility-the-failure-of-yasuni. Accessed 24/08/2014</w:t>
      </w:r>
    </w:p>
  </w:footnote>
  <w:footnote w:id="216">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p>
  </w:footnote>
  <w:footnote w:id="217">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Anthony Bebbington, “The New Extraction: Rewriting the Political Ecology of the Andes?” Nacla Report on the Americas, </w:t>
      </w:r>
      <w:r w:rsidRPr="002F1C58">
        <w:rPr>
          <w:rStyle w:val="A0"/>
          <w:rFonts w:ascii="Times New Roman" w:hAnsi="Times New Roman" w:cs="Times New Roman"/>
          <w:b w:val="0"/>
          <w:bCs w:val="0"/>
          <w:color w:val="auto"/>
          <w:sz w:val="24"/>
          <w:szCs w:val="24"/>
          <w:vertAlign w:val="superscript"/>
        </w:rPr>
        <w:t>September/October 2009. At P. 12. Available at:</w:t>
      </w:r>
      <w:r w:rsidRPr="002F1C58">
        <w:rPr>
          <w:rStyle w:val="A0"/>
          <w:rFonts w:ascii="Times New Roman" w:hAnsi="Times New Roman" w:cs="Times New Roman"/>
          <w:bCs w:val="0"/>
          <w:color w:val="auto"/>
          <w:sz w:val="24"/>
          <w:szCs w:val="24"/>
          <w:vertAlign w:val="superscript"/>
        </w:rPr>
        <w:t xml:space="preserve"> </w:t>
      </w:r>
      <w:r w:rsidRPr="002F1C58">
        <w:rPr>
          <w:rFonts w:ascii="Times New Roman" w:hAnsi="Times New Roman" w:cs="Times New Roman"/>
          <w:sz w:val="24"/>
          <w:szCs w:val="24"/>
          <w:vertAlign w:val="superscript"/>
        </w:rPr>
        <w:t xml:space="preserve">www.sed.manchester.ac.uk/research/andes/.../bebbington_naclareport.pd. Accessed 7/08/2104 </w:t>
      </w:r>
    </w:p>
  </w:footnote>
  <w:footnote w:id="218">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at P13</w:t>
      </w:r>
    </w:p>
  </w:footnote>
  <w:footnote w:id="219">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Guy Adams, “Images of Amazon’s Tiananmen”, (2104) Available at: http://www.independent.co.uk/news/world/americas/images-of-amazons-tiananmen-1708990.html. Accessed 13/08/2014 </w:t>
      </w:r>
    </w:p>
  </w:footnote>
  <w:footnote w:id="220">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IACmHR, Case No. 7615 (1985) </w:t>
      </w:r>
    </w:p>
  </w:footnote>
  <w:footnote w:id="221">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The IACmHR is the judicial body endowed by the Organisation of American States to promote human rights in the Americas </w:t>
      </w:r>
    </w:p>
  </w:footnote>
  <w:footnote w:id="222">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See</w:t>
      </w:r>
      <w:r w:rsidRPr="002F1C58">
        <w:rPr>
          <w:rFonts w:ascii="Times New Roman" w:hAnsi="Times New Roman" w:cs="Times New Roman"/>
          <w:sz w:val="24"/>
          <w:szCs w:val="24"/>
          <w:vertAlign w:val="superscript"/>
        </w:rPr>
        <w:t xml:space="preserve"> Michele Morel, </w:t>
      </w:r>
      <w:r w:rsidRPr="002F1C58">
        <w:rPr>
          <w:rFonts w:ascii="Times New Roman" w:hAnsi="Times New Roman" w:cs="Times New Roman"/>
          <w:i/>
          <w:sz w:val="24"/>
          <w:szCs w:val="24"/>
          <w:vertAlign w:val="superscript"/>
        </w:rPr>
        <w:t>“The Right Not To Be Displaced in International Law”,</w:t>
      </w:r>
      <w:r w:rsidRPr="002F1C58">
        <w:rPr>
          <w:rFonts w:ascii="Times New Roman" w:hAnsi="Times New Roman" w:cs="Times New Roman"/>
          <w:sz w:val="24"/>
          <w:szCs w:val="24"/>
          <w:vertAlign w:val="superscript"/>
        </w:rPr>
        <w:t xml:space="preserve"> (2014) Intersentia Ltd, at P. 122</w:t>
      </w:r>
    </w:p>
  </w:footnote>
  <w:footnote w:id="223">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i/>
          <w:sz w:val="24"/>
          <w:szCs w:val="24"/>
          <w:vertAlign w:val="superscript"/>
        </w:rPr>
        <w:t xml:space="preserve"> Supra </w:t>
      </w:r>
      <w:r w:rsidRPr="002F1C58">
        <w:rPr>
          <w:rFonts w:ascii="Times New Roman" w:hAnsi="Times New Roman" w:cs="Times New Roman"/>
          <w:sz w:val="24"/>
          <w:szCs w:val="24"/>
          <w:vertAlign w:val="superscript"/>
        </w:rPr>
        <w:t xml:space="preserve">n. 235 </w:t>
      </w:r>
      <w:r w:rsidRPr="002F1C58">
        <w:rPr>
          <w:rFonts w:ascii="Times New Roman" w:hAnsi="Times New Roman" w:cs="Times New Roman"/>
          <w:i/>
          <w:sz w:val="24"/>
          <w:szCs w:val="24"/>
          <w:vertAlign w:val="superscript"/>
        </w:rPr>
        <w:t xml:space="preserve">at </w:t>
      </w:r>
      <w:r w:rsidRPr="002F1C58">
        <w:rPr>
          <w:rFonts w:ascii="Times New Roman" w:hAnsi="Times New Roman" w:cs="Times New Roman"/>
          <w:sz w:val="24"/>
          <w:szCs w:val="24"/>
          <w:vertAlign w:val="superscript"/>
        </w:rPr>
        <w:t xml:space="preserve">Para. 2 (f) </w:t>
      </w:r>
    </w:p>
  </w:footnote>
  <w:footnote w:id="224">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Para. 1 (under The American Declaration of the Rights and Duties of Man)</w:t>
      </w:r>
      <w:r w:rsidRPr="002F1C58">
        <w:rPr>
          <w:rFonts w:ascii="Times New Roman" w:hAnsi="Times New Roman" w:cs="Times New Roman"/>
          <w:color w:val="000000"/>
          <w:sz w:val="24"/>
          <w:szCs w:val="24"/>
          <w:shd w:val="clear" w:color="auto" w:fill="FFFFFF"/>
          <w:vertAlign w:val="superscript"/>
        </w:rPr>
        <w:t xml:space="preserve"> </w:t>
      </w:r>
    </w:p>
  </w:footnote>
  <w:footnote w:id="225">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Supra</w:t>
      </w:r>
      <w:r w:rsidRPr="002F1C58">
        <w:rPr>
          <w:rFonts w:ascii="Times New Roman" w:hAnsi="Times New Roman" w:cs="Times New Roman"/>
          <w:sz w:val="24"/>
          <w:szCs w:val="24"/>
          <w:vertAlign w:val="superscript"/>
        </w:rPr>
        <w:t xml:space="preserve"> n. 236 (Morel) at P. 123</w:t>
      </w:r>
    </w:p>
  </w:footnote>
  <w:footnote w:id="226">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i/>
          <w:sz w:val="24"/>
          <w:szCs w:val="24"/>
          <w:vertAlign w:val="superscript"/>
        </w:rPr>
        <w:t xml:space="preserve"> Ibid</w:t>
      </w:r>
      <w:r w:rsidRPr="002F1C58">
        <w:rPr>
          <w:rFonts w:ascii="Times New Roman" w:hAnsi="Times New Roman" w:cs="Times New Roman"/>
          <w:sz w:val="24"/>
          <w:szCs w:val="24"/>
          <w:vertAlign w:val="superscript"/>
        </w:rPr>
        <w:t xml:space="preserve"> at P.123</w:t>
      </w:r>
    </w:p>
  </w:footnote>
  <w:footnote w:id="227">
    <w:p w:rsidR="00111E65" w:rsidRPr="002F1C58" w:rsidRDefault="00111E65" w:rsidP="008379A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Supra </w:t>
      </w:r>
      <w:r w:rsidRPr="002F1C58">
        <w:rPr>
          <w:rFonts w:ascii="Times New Roman" w:hAnsi="Times New Roman" w:cs="Times New Roman"/>
          <w:sz w:val="24"/>
          <w:szCs w:val="24"/>
          <w:vertAlign w:val="superscript"/>
        </w:rPr>
        <w:t xml:space="preserve">n. 235 at Para.10 c </w:t>
      </w:r>
    </w:p>
  </w:footnote>
  <w:footnote w:id="228">
    <w:p w:rsidR="00111E65" w:rsidRPr="002F1C58" w:rsidRDefault="00111E65" w:rsidP="002F1C5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color w:val="000000"/>
          <w:sz w:val="24"/>
          <w:szCs w:val="24"/>
          <w:shd w:val="clear" w:color="auto" w:fill="FFFFFF"/>
          <w:vertAlign w:val="superscript"/>
        </w:rPr>
        <w:t>O.A.S. Res. XXX, reprinted in Basic Documents Pertaining to Human Rights in the Inter-American System, OAS/Ser.L/V/I.4 Rev. 9 (2003); 43 AJIL Supp. 133 (1949)</w:t>
      </w:r>
      <w:r w:rsidR="002F1C58">
        <w:rPr>
          <w:rFonts w:ascii="Times New Roman" w:hAnsi="Times New Roman" w:cs="Times New Roman"/>
          <w:sz w:val="24"/>
          <w:szCs w:val="24"/>
          <w:vertAlign w:val="superscript"/>
        </w:rPr>
        <w:t xml:space="preserve">  </w:t>
      </w:r>
    </w:p>
  </w:footnote>
  <w:footnote w:id="229">
    <w:p w:rsidR="00111E65" w:rsidRPr="002F1C58" w:rsidRDefault="00111E65" w:rsidP="007F472C">
      <w:pPr>
        <w:pStyle w:val="NoSpacing"/>
        <w:rPr>
          <w:rFonts w:ascii="Times New Roman" w:hAnsi="Times New Roman" w:cs="Times New Roman"/>
          <w:i/>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Style w:val="Strong"/>
          <w:rFonts w:ascii="Times New Roman" w:hAnsi="Times New Roman" w:cs="Times New Roman"/>
          <w:b w:val="0"/>
          <w:i/>
          <w:sz w:val="24"/>
          <w:szCs w:val="24"/>
          <w:shd w:val="clear" w:color="auto" w:fill="FFFFFF"/>
          <w:vertAlign w:val="superscript"/>
        </w:rPr>
        <w:t>Centre on Housing Rights and Evictions v. The Sudan, Communication Nos. 279/03 &amp; 296/05, African Commission on Human and Peoples' Rights (2009)</w:t>
      </w:r>
      <w:r w:rsidRPr="002F1C58">
        <w:rPr>
          <w:rStyle w:val="Strong"/>
          <w:rFonts w:ascii="Times New Roman" w:hAnsi="Times New Roman" w:cs="Times New Roman"/>
          <w:b w:val="0"/>
          <w:sz w:val="24"/>
          <w:szCs w:val="24"/>
          <w:shd w:val="clear" w:color="auto" w:fill="FFFFFF"/>
          <w:vertAlign w:val="superscript"/>
        </w:rPr>
        <w:t xml:space="preserve">; </w:t>
      </w:r>
      <w:r w:rsidRPr="002F1C58">
        <w:rPr>
          <w:rStyle w:val="Strong"/>
          <w:rFonts w:ascii="Times New Roman" w:hAnsi="Times New Roman" w:cs="Times New Roman"/>
          <w:b w:val="0"/>
          <w:i/>
          <w:sz w:val="24"/>
          <w:szCs w:val="24"/>
          <w:shd w:val="clear" w:color="auto" w:fill="FFFFFF"/>
          <w:vertAlign w:val="superscript"/>
        </w:rPr>
        <w:t xml:space="preserve"> </w:t>
      </w:r>
      <w:r w:rsidRPr="002F1C58">
        <w:rPr>
          <w:rFonts w:ascii="Times New Roman" w:hAnsi="Times New Roman" w:cs="Times New Roman"/>
          <w:sz w:val="24"/>
          <w:szCs w:val="24"/>
          <w:vertAlign w:val="superscript"/>
        </w:rPr>
        <w:t xml:space="preserve">See also for example, on the theme of land rights, natural resources, and the granting of mining concessions to private companies on indigenous and tribal territories,  </w:t>
      </w:r>
      <w:r w:rsidRPr="002F1C58">
        <w:rPr>
          <w:rStyle w:val="itemtitle"/>
          <w:rFonts w:ascii="Times New Roman" w:hAnsi="Times New Roman" w:cs="Times New Roman"/>
          <w:i/>
          <w:sz w:val="24"/>
          <w:szCs w:val="24"/>
          <w:vertAlign w:val="superscript"/>
        </w:rPr>
        <w:t>Saramaka People v Suriname IACHR Series C No 185.</w:t>
      </w:r>
      <w:r w:rsidRPr="002F1C58">
        <w:rPr>
          <w:rFonts w:ascii="Times New Roman" w:hAnsi="Times New Roman" w:cs="Times New Roman"/>
          <w:sz w:val="24"/>
          <w:szCs w:val="24"/>
          <w:vertAlign w:val="superscript"/>
        </w:rPr>
        <w:t xml:space="preserve"> The case concerned, amongst other things, the violations of the rights to make use of territory in a culturally and spiritually specific way, and the right to communal property. Although the Saramaka people are not an indigenous people, they are descended from self-liberated African slaves but live in a way that is commensurate with indigenous characteristics according to the Court. The ruling by the IACtHR is significant in that the Court reinforced the precedent of recognising the link between the cultural survival of an indigenous type group and their economic and religious relationship with their land.  </w:t>
      </w:r>
    </w:p>
  </w:footnote>
  <w:footnote w:id="230">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sz w:val="24"/>
          <w:szCs w:val="24"/>
          <w:shd w:val="clear" w:color="auto" w:fill="FFFFFF"/>
          <w:vertAlign w:val="superscript"/>
        </w:rPr>
        <w:t xml:space="preserve">IACHR Series C No 146 29/ 03/2006 </w:t>
      </w:r>
      <w:r w:rsidRPr="002F1C58">
        <w:rPr>
          <w:rStyle w:val="apple-converted-space"/>
          <w:rFonts w:ascii="Times New Roman" w:hAnsi="Times New Roman" w:cs="Times New Roman"/>
          <w:sz w:val="24"/>
          <w:szCs w:val="24"/>
          <w:shd w:val="clear" w:color="auto" w:fill="FFFFFF"/>
          <w:vertAlign w:val="superscript"/>
        </w:rPr>
        <w:t> </w:t>
      </w:r>
    </w:p>
  </w:footnote>
  <w:footnote w:id="231">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Ibid</w:t>
      </w:r>
      <w:r w:rsidRPr="002F1C58">
        <w:rPr>
          <w:rFonts w:ascii="Times New Roman" w:hAnsi="Times New Roman" w:cs="Times New Roman"/>
          <w:sz w:val="24"/>
          <w:szCs w:val="24"/>
          <w:vertAlign w:val="superscript"/>
        </w:rPr>
        <w:t xml:space="preserve"> section VII Para. 73 (3) </w:t>
      </w:r>
    </w:p>
  </w:footnote>
  <w:footnote w:id="232">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 xml:space="preserve">Para 73 (4) to 73 (7) </w:t>
      </w:r>
    </w:p>
  </w:footnote>
  <w:footnote w:id="233">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i/>
          <w:sz w:val="24"/>
          <w:szCs w:val="24"/>
          <w:vertAlign w:val="superscript"/>
        </w:rPr>
        <w:t xml:space="preserve">Ibid </w:t>
      </w:r>
      <w:r w:rsidRPr="002F1C58">
        <w:rPr>
          <w:rFonts w:ascii="Times New Roman" w:hAnsi="Times New Roman" w:cs="Times New Roman"/>
          <w:sz w:val="24"/>
          <w:szCs w:val="24"/>
          <w:vertAlign w:val="superscript"/>
        </w:rPr>
        <w:t>Section XIV</w:t>
      </w:r>
      <w:r w:rsidRPr="002F1C58">
        <w:rPr>
          <w:rFonts w:ascii="Times New Roman" w:hAnsi="Times New Roman" w:cs="Times New Roman"/>
          <w:i/>
          <w:sz w:val="24"/>
          <w:szCs w:val="24"/>
          <w:vertAlign w:val="superscript"/>
        </w:rPr>
        <w:t xml:space="preserve"> </w:t>
      </w:r>
      <w:r w:rsidRPr="002F1C58">
        <w:rPr>
          <w:rFonts w:ascii="Times New Roman" w:hAnsi="Times New Roman" w:cs="Times New Roman"/>
          <w:sz w:val="24"/>
          <w:szCs w:val="24"/>
          <w:vertAlign w:val="superscript"/>
        </w:rPr>
        <w:t>Para 2</w:t>
      </w:r>
    </w:p>
  </w:footnote>
  <w:footnote w:id="234">
    <w:p w:rsidR="00111E65" w:rsidRPr="002F1C58" w:rsidRDefault="00111E65" w:rsidP="007F472C">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w:t>
      </w:r>
      <w:r w:rsidRPr="002F1C58">
        <w:rPr>
          <w:rFonts w:ascii="Times New Roman" w:hAnsi="Times New Roman" w:cs="Times New Roman"/>
          <w:sz w:val="24"/>
          <w:szCs w:val="24"/>
          <w:shd w:val="clear" w:color="auto" w:fill="FFFFFF"/>
          <w:vertAlign w:val="superscript"/>
        </w:rPr>
        <w:t>OAS Treaty Series No. 36; 1144 UNTS 123; 9 ILM 99 (1969)</w:t>
      </w:r>
    </w:p>
  </w:footnote>
  <w:footnote w:id="235">
    <w:p w:rsidR="00111E65" w:rsidRPr="002F1C58" w:rsidRDefault="00111E65" w:rsidP="007F472C">
      <w:pPr>
        <w:pStyle w:val="NoSpacing"/>
        <w:rPr>
          <w:rFonts w:ascii="Times New Roman" w:hAnsi="Times New Roman" w:cs="Times New Roman"/>
          <w:sz w:val="24"/>
          <w:szCs w:val="24"/>
          <w:vertAlign w:val="superscript"/>
          <w:lang w:val="es-E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w:t>
      </w:r>
      <w:r w:rsidRPr="002F1C58">
        <w:rPr>
          <w:rFonts w:ascii="Times New Roman" w:hAnsi="Times New Roman" w:cs="Times New Roman"/>
          <w:i/>
          <w:sz w:val="24"/>
          <w:szCs w:val="24"/>
          <w:vertAlign w:val="superscript"/>
          <w:lang w:val="es-ES"/>
        </w:rPr>
        <w:t xml:space="preserve">Supra </w:t>
      </w:r>
      <w:r w:rsidRPr="002F1C58">
        <w:rPr>
          <w:rFonts w:ascii="Times New Roman" w:hAnsi="Times New Roman" w:cs="Times New Roman"/>
          <w:sz w:val="24"/>
          <w:szCs w:val="24"/>
          <w:vertAlign w:val="superscript"/>
          <w:lang w:val="es-ES"/>
        </w:rPr>
        <w:t xml:space="preserve">n. 75 </w:t>
      </w:r>
    </w:p>
  </w:footnote>
  <w:footnote w:id="236">
    <w:p w:rsidR="00111E65" w:rsidRPr="002F1C58" w:rsidRDefault="00111E65" w:rsidP="007F472C">
      <w:pPr>
        <w:pStyle w:val="NoSpacing"/>
        <w:rPr>
          <w:rFonts w:ascii="Times New Roman" w:hAnsi="Times New Roman" w:cs="Times New Roman"/>
          <w:sz w:val="24"/>
          <w:szCs w:val="24"/>
          <w:vertAlign w:val="superscript"/>
          <w:lang w:val="es-E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w:t>
      </w:r>
      <w:r w:rsidRPr="002F1C58">
        <w:rPr>
          <w:rFonts w:ascii="Times New Roman" w:hAnsi="Times New Roman" w:cs="Times New Roman"/>
          <w:i/>
          <w:sz w:val="24"/>
          <w:szCs w:val="24"/>
          <w:vertAlign w:val="superscript"/>
          <w:lang w:val="es-ES"/>
        </w:rPr>
        <w:t>Supra</w:t>
      </w:r>
      <w:r w:rsidRPr="002F1C58">
        <w:rPr>
          <w:rFonts w:ascii="Times New Roman" w:hAnsi="Times New Roman" w:cs="Times New Roman"/>
          <w:sz w:val="24"/>
          <w:szCs w:val="24"/>
          <w:vertAlign w:val="superscript"/>
          <w:lang w:val="es-ES"/>
        </w:rPr>
        <w:t xml:space="preserve"> n. 244 Section IX Para 138  </w:t>
      </w:r>
    </w:p>
  </w:footnote>
  <w:footnote w:id="237">
    <w:p w:rsidR="00111E65" w:rsidRPr="002F1C58" w:rsidRDefault="00111E65" w:rsidP="007F472C">
      <w:pPr>
        <w:pStyle w:val="NoSpacing"/>
        <w:rPr>
          <w:rFonts w:ascii="Times New Roman" w:hAnsi="Times New Roman" w:cs="Times New Roman"/>
          <w:sz w:val="24"/>
          <w:szCs w:val="24"/>
          <w:vertAlign w:val="superscript"/>
          <w:lang w:val="es-E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w:t>
      </w:r>
      <w:r w:rsidRPr="002F1C58">
        <w:rPr>
          <w:rFonts w:ascii="Times New Roman" w:hAnsi="Times New Roman" w:cs="Times New Roman"/>
          <w:i/>
          <w:sz w:val="24"/>
          <w:szCs w:val="24"/>
          <w:vertAlign w:val="superscript"/>
          <w:lang w:val="es-ES"/>
        </w:rPr>
        <w:t>Ibid</w:t>
      </w:r>
      <w:r w:rsidRPr="002F1C58">
        <w:rPr>
          <w:rFonts w:ascii="Times New Roman" w:hAnsi="Times New Roman" w:cs="Times New Roman"/>
          <w:sz w:val="24"/>
          <w:szCs w:val="24"/>
          <w:vertAlign w:val="superscript"/>
          <w:lang w:val="es-ES"/>
        </w:rPr>
        <w:t xml:space="preserve"> 117 to 120 </w:t>
      </w:r>
    </w:p>
  </w:footnote>
  <w:footnote w:id="238">
    <w:p w:rsidR="00111E65" w:rsidRPr="002F1C58" w:rsidRDefault="00111E65" w:rsidP="007F472C">
      <w:pPr>
        <w:pStyle w:val="NoSpacing"/>
        <w:rPr>
          <w:rFonts w:ascii="Times New Roman" w:hAnsi="Times New Roman" w:cs="Times New Roman"/>
          <w:sz w:val="24"/>
          <w:szCs w:val="24"/>
          <w:vertAlign w:val="superscript"/>
          <w:lang w:val="es-ES"/>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lang w:val="es-ES"/>
        </w:rPr>
        <w:t xml:space="preserve"> Ibid Para 120</w:t>
      </w:r>
    </w:p>
  </w:footnote>
  <w:footnote w:id="239">
    <w:p w:rsidR="00111E65" w:rsidRPr="002F1C58" w:rsidRDefault="00111E65" w:rsidP="00395DD8">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IACtHR, Ser.C No.79 (2001); see also for a similar judgement, IACtHR, </w:t>
      </w:r>
      <w:r w:rsidRPr="002F1C58">
        <w:rPr>
          <w:rFonts w:ascii="Times New Roman" w:hAnsi="Times New Roman" w:cs="Times New Roman"/>
          <w:i/>
          <w:sz w:val="24"/>
          <w:szCs w:val="24"/>
          <w:vertAlign w:val="superscript"/>
        </w:rPr>
        <w:t>Yakye Axa Indigenous Community v. Paraguay</w:t>
      </w:r>
      <w:r w:rsidRPr="002F1C58">
        <w:rPr>
          <w:rFonts w:ascii="Times New Roman" w:hAnsi="Times New Roman" w:cs="Times New Roman"/>
          <w:sz w:val="24"/>
          <w:szCs w:val="24"/>
          <w:vertAlign w:val="superscript"/>
        </w:rPr>
        <w:t>, Ser.C 125 (2005)</w:t>
      </w:r>
    </w:p>
  </w:footnote>
  <w:footnote w:id="240">
    <w:p w:rsidR="00111E65" w:rsidRPr="002F1C58" w:rsidRDefault="00111E65" w:rsidP="00395DD8">
      <w:pPr>
        <w:pStyle w:val="NoSpacing"/>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 James Anaya and Claudio Grossman, “The Case of Awas Tingni v. Nicaragua: A New Step in the International Law of Indigenous Peoples”, Arizona</w:t>
      </w:r>
      <w:r w:rsidRPr="002F1C58">
        <w:rPr>
          <w:rFonts w:ascii="Times New Roman" w:hAnsi="Times New Roman" w:cs="Times New Roman"/>
          <w:i/>
          <w:sz w:val="24"/>
          <w:szCs w:val="24"/>
          <w:vertAlign w:val="superscript"/>
        </w:rPr>
        <w:t xml:space="preserve"> Journal of International and Comparative Law</w:t>
      </w:r>
      <w:r w:rsidRPr="002F1C58">
        <w:rPr>
          <w:rFonts w:ascii="Times New Roman" w:hAnsi="Times New Roman" w:cs="Times New Roman"/>
          <w:sz w:val="24"/>
          <w:szCs w:val="24"/>
          <w:vertAlign w:val="superscript"/>
        </w:rPr>
        <w:t xml:space="preserve"> Vol. 19, No. 1, 2002. P.1 </w:t>
      </w:r>
    </w:p>
  </w:footnote>
  <w:footnote w:id="241">
    <w:p w:rsidR="00111E65" w:rsidRPr="002F1C58" w:rsidRDefault="00111E65" w:rsidP="00395DD8">
      <w:pPr>
        <w:pStyle w:val="FootnoteText"/>
        <w:rPr>
          <w:rFonts w:ascii="Times New 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Supra n. 12 (Anaya) at P. 266</w:t>
      </w:r>
    </w:p>
  </w:footnote>
  <w:footnote w:id="242">
    <w:p w:rsidR="00111E65" w:rsidRPr="002F1C58" w:rsidRDefault="00111E65" w:rsidP="00651FC7">
      <w:pPr>
        <w:pStyle w:val="NoSpacing"/>
        <w:rPr>
          <w:rFonts w:ascii="Times New Roman" w:eastAsia="HelveticaNeueLTCom-Roman" w:hAnsi="Times New Roman" w:cs="Times New Roman"/>
          <w:sz w:val="24"/>
          <w:szCs w:val="24"/>
          <w:vertAlign w:val="superscript"/>
        </w:rPr>
      </w:pPr>
      <w:r w:rsidRPr="002F1C58">
        <w:rPr>
          <w:rStyle w:val="FootnoteReference"/>
          <w:rFonts w:ascii="Times New Roman" w:hAnsi="Times New Roman" w:cs="Times New Roman"/>
          <w:sz w:val="24"/>
          <w:szCs w:val="24"/>
        </w:rPr>
        <w:footnoteRef/>
      </w:r>
      <w:r w:rsidRPr="002F1C58">
        <w:rPr>
          <w:rFonts w:ascii="Times New Roman" w:hAnsi="Times New Roman" w:cs="Times New Roman"/>
          <w:sz w:val="24"/>
          <w:szCs w:val="24"/>
          <w:vertAlign w:val="superscript"/>
        </w:rPr>
        <w:t xml:space="preserve"> Also late affirmed in </w:t>
      </w:r>
      <w:r w:rsidRPr="002F1C58">
        <w:rPr>
          <w:rFonts w:ascii="Times New Roman" w:eastAsia="HelveticaNeueLTCom-It" w:hAnsi="Times New Roman" w:cs="Times New Roman"/>
          <w:i/>
          <w:sz w:val="24"/>
          <w:szCs w:val="24"/>
          <w:vertAlign w:val="superscript"/>
        </w:rPr>
        <w:t xml:space="preserve">Saramaka People </w:t>
      </w:r>
      <w:r w:rsidRPr="002F1C58">
        <w:rPr>
          <w:rFonts w:ascii="Times New Roman" w:eastAsia="HelveticaNeueLTCom-Roman" w:hAnsi="Times New Roman" w:cs="Times New Roman"/>
          <w:i/>
          <w:sz w:val="24"/>
          <w:szCs w:val="24"/>
          <w:vertAlign w:val="superscript"/>
        </w:rPr>
        <w:t xml:space="preserve">v </w:t>
      </w:r>
      <w:r w:rsidRPr="002F1C58">
        <w:rPr>
          <w:rFonts w:ascii="Times New Roman" w:eastAsia="HelveticaNeueLTCom-It" w:hAnsi="Times New Roman" w:cs="Times New Roman"/>
          <w:i/>
          <w:sz w:val="24"/>
          <w:szCs w:val="24"/>
          <w:vertAlign w:val="superscript"/>
        </w:rPr>
        <w:t>Suriname</w:t>
      </w:r>
      <w:r w:rsidRPr="002F1C58">
        <w:rPr>
          <w:rFonts w:ascii="Times New Roman" w:eastAsia="HelveticaNeueLTCom-Roman" w:hAnsi="Times New Roman" w:cs="Times New Roman"/>
          <w:sz w:val="24"/>
          <w:szCs w:val="24"/>
          <w:vertAlign w:val="superscript"/>
        </w:rPr>
        <w:t>, IACtHR, Series C (1722007), Paras. 87–96</w:t>
      </w:r>
    </w:p>
    <w:p w:rsidR="00111E65" w:rsidRPr="002F1C58" w:rsidRDefault="00111E65">
      <w:pPr>
        <w:pStyle w:val="FootnoteText"/>
        <w:rPr>
          <w:rFonts w:ascii="Times New Roman" w:hAnsi="Times New Roman" w:cs="Times New Roman"/>
          <w:sz w:val="24"/>
          <w:szCs w:val="24"/>
          <w:vertAlign w:val="superscript"/>
        </w:rPr>
      </w:pPr>
      <w:r w:rsidRPr="002F1C58">
        <w:rPr>
          <w:rFonts w:ascii="Times New Roman" w:hAnsi="Times New Roman" w:cs="Times New Roman"/>
          <w:sz w:val="24"/>
          <w:szCs w:val="24"/>
          <w:vertAlign w:val="superscript"/>
        </w:rPr>
        <w:t xml:space="preserve">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27D"/>
    <w:multiLevelType w:val="hybridMultilevel"/>
    <w:tmpl w:val="530ED186"/>
    <w:lvl w:ilvl="0" w:tplc="07E2BA66">
      <w:start w:val="1"/>
      <w:numFmt w:val="bullet"/>
      <w:pStyle w:val="ListBullet"/>
      <w:lvlText w:val="•"/>
      <w:lvlJc w:val="left"/>
      <w:pPr>
        <w:ind w:left="717" w:hanging="360"/>
      </w:pPr>
      <w:rPr>
        <w:rFonts w:ascii="Arial" w:hAnsi="Arial" w:hint="default"/>
        <w:b w:val="0"/>
        <w:bCs w:val="0"/>
        <w:i w:val="0"/>
        <w:iCs w:val="0"/>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3C4B3E82"/>
    <w:multiLevelType w:val="multilevel"/>
    <w:tmpl w:val="75DC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7F6D62"/>
    <w:multiLevelType w:val="multilevel"/>
    <w:tmpl w:val="1436DC0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sz w:val="3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70803EFB"/>
    <w:multiLevelType w:val="hybridMultilevel"/>
    <w:tmpl w:val="D9FAE32A"/>
    <w:lvl w:ilvl="0" w:tplc="A6F82BFC">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037BCC"/>
    <w:rsid w:val="0000068B"/>
    <w:rsid w:val="0000192F"/>
    <w:rsid w:val="00003E3B"/>
    <w:rsid w:val="000055C4"/>
    <w:rsid w:val="00007AC7"/>
    <w:rsid w:val="0001050A"/>
    <w:rsid w:val="00011C9A"/>
    <w:rsid w:val="0001234F"/>
    <w:rsid w:val="00012848"/>
    <w:rsid w:val="00013ED9"/>
    <w:rsid w:val="00017C43"/>
    <w:rsid w:val="00023B20"/>
    <w:rsid w:val="00025129"/>
    <w:rsid w:val="00025601"/>
    <w:rsid w:val="00025DD9"/>
    <w:rsid w:val="000267BC"/>
    <w:rsid w:val="00027164"/>
    <w:rsid w:val="00027396"/>
    <w:rsid w:val="0003042D"/>
    <w:rsid w:val="000309B1"/>
    <w:rsid w:val="00030EEB"/>
    <w:rsid w:val="00033D62"/>
    <w:rsid w:val="00034BA9"/>
    <w:rsid w:val="00035890"/>
    <w:rsid w:val="00037BCC"/>
    <w:rsid w:val="0004114C"/>
    <w:rsid w:val="00041478"/>
    <w:rsid w:val="00042172"/>
    <w:rsid w:val="00042BFE"/>
    <w:rsid w:val="00042D7D"/>
    <w:rsid w:val="0004555F"/>
    <w:rsid w:val="000529A9"/>
    <w:rsid w:val="00052D05"/>
    <w:rsid w:val="00053A68"/>
    <w:rsid w:val="00054F17"/>
    <w:rsid w:val="00056341"/>
    <w:rsid w:val="00060EEB"/>
    <w:rsid w:val="00060EEC"/>
    <w:rsid w:val="000615DB"/>
    <w:rsid w:val="00061A9A"/>
    <w:rsid w:val="00063B79"/>
    <w:rsid w:val="00067BC0"/>
    <w:rsid w:val="00071B31"/>
    <w:rsid w:val="00073609"/>
    <w:rsid w:val="0007384C"/>
    <w:rsid w:val="000748D3"/>
    <w:rsid w:val="0007550E"/>
    <w:rsid w:val="00075AAB"/>
    <w:rsid w:val="00076E27"/>
    <w:rsid w:val="00077B03"/>
    <w:rsid w:val="0008018E"/>
    <w:rsid w:val="00080F90"/>
    <w:rsid w:val="000815A5"/>
    <w:rsid w:val="00081C31"/>
    <w:rsid w:val="00083118"/>
    <w:rsid w:val="00083F34"/>
    <w:rsid w:val="00084228"/>
    <w:rsid w:val="0008423D"/>
    <w:rsid w:val="000849AD"/>
    <w:rsid w:val="00084D63"/>
    <w:rsid w:val="00086561"/>
    <w:rsid w:val="00086A5D"/>
    <w:rsid w:val="00086DF8"/>
    <w:rsid w:val="00087ACD"/>
    <w:rsid w:val="000903DC"/>
    <w:rsid w:val="00091A39"/>
    <w:rsid w:val="000930D5"/>
    <w:rsid w:val="000934D6"/>
    <w:rsid w:val="000966E0"/>
    <w:rsid w:val="00097C5C"/>
    <w:rsid w:val="000A0FF8"/>
    <w:rsid w:val="000A1867"/>
    <w:rsid w:val="000A21DA"/>
    <w:rsid w:val="000A3B44"/>
    <w:rsid w:val="000A446F"/>
    <w:rsid w:val="000A472A"/>
    <w:rsid w:val="000A4BE2"/>
    <w:rsid w:val="000A50FC"/>
    <w:rsid w:val="000A5BBD"/>
    <w:rsid w:val="000B30D3"/>
    <w:rsid w:val="000B6656"/>
    <w:rsid w:val="000B6BE3"/>
    <w:rsid w:val="000B7B42"/>
    <w:rsid w:val="000C00B5"/>
    <w:rsid w:val="000C28F5"/>
    <w:rsid w:val="000C29A8"/>
    <w:rsid w:val="000C3148"/>
    <w:rsid w:val="000C3D95"/>
    <w:rsid w:val="000C663D"/>
    <w:rsid w:val="000C6735"/>
    <w:rsid w:val="000C696E"/>
    <w:rsid w:val="000C7164"/>
    <w:rsid w:val="000D2976"/>
    <w:rsid w:val="000D2ACB"/>
    <w:rsid w:val="000D437D"/>
    <w:rsid w:val="000D531B"/>
    <w:rsid w:val="000D5A9D"/>
    <w:rsid w:val="000D79CD"/>
    <w:rsid w:val="000E0D5E"/>
    <w:rsid w:val="000E0F3E"/>
    <w:rsid w:val="000E223E"/>
    <w:rsid w:val="000E3FF3"/>
    <w:rsid w:val="000E48B2"/>
    <w:rsid w:val="000E7893"/>
    <w:rsid w:val="000F15E2"/>
    <w:rsid w:val="000F2B90"/>
    <w:rsid w:val="000F7809"/>
    <w:rsid w:val="001032A5"/>
    <w:rsid w:val="0010526E"/>
    <w:rsid w:val="001062D5"/>
    <w:rsid w:val="001066E8"/>
    <w:rsid w:val="00111E65"/>
    <w:rsid w:val="00112183"/>
    <w:rsid w:val="00112BB9"/>
    <w:rsid w:val="0011577C"/>
    <w:rsid w:val="0011599C"/>
    <w:rsid w:val="0011748C"/>
    <w:rsid w:val="00120565"/>
    <w:rsid w:val="00121A8B"/>
    <w:rsid w:val="00124C29"/>
    <w:rsid w:val="00124F18"/>
    <w:rsid w:val="00125B79"/>
    <w:rsid w:val="0012609D"/>
    <w:rsid w:val="00126208"/>
    <w:rsid w:val="00131955"/>
    <w:rsid w:val="00131FC8"/>
    <w:rsid w:val="0013341D"/>
    <w:rsid w:val="001357DE"/>
    <w:rsid w:val="001364D1"/>
    <w:rsid w:val="00140C4C"/>
    <w:rsid w:val="00141245"/>
    <w:rsid w:val="001424F3"/>
    <w:rsid w:val="0014409D"/>
    <w:rsid w:val="001441D6"/>
    <w:rsid w:val="00144465"/>
    <w:rsid w:val="00144481"/>
    <w:rsid w:val="00145EAA"/>
    <w:rsid w:val="001466D3"/>
    <w:rsid w:val="00150329"/>
    <w:rsid w:val="001529BA"/>
    <w:rsid w:val="00153037"/>
    <w:rsid w:val="001558B5"/>
    <w:rsid w:val="00156FB0"/>
    <w:rsid w:val="00161D5C"/>
    <w:rsid w:val="00161D7E"/>
    <w:rsid w:val="001652BD"/>
    <w:rsid w:val="00165CA1"/>
    <w:rsid w:val="001665D6"/>
    <w:rsid w:val="001668F5"/>
    <w:rsid w:val="001713C8"/>
    <w:rsid w:val="00175795"/>
    <w:rsid w:val="00175A0E"/>
    <w:rsid w:val="00175FE3"/>
    <w:rsid w:val="00176731"/>
    <w:rsid w:val="00176FB8"/>
    <w:rsid w:val="00177B38"/>
    <w:rsid w:val="001809A5"/>
    <w:rsid w:val="00181F4D"/>
    <w:rsid w:val="001824B9"/>
    <w:rsid w:val="00186561"/>
    <w:rsid w:val="00187F10"/>
    <w:rsid w:val="001930CF"/>
    <w:rsid w:val="00193158"/>
    <w:rsid w:val="00196BD0"/>
    <w:rsid w:val="001A011C"/>
    <w:rsid w:val="001A033C"/>
    <w:rsid w:val="001A037A"/>
    <w:rsid w:val="001A22BD"/>
    <w:rsid w:val="001A6C19"/>
    <w:rsid w:val="001A70A9"/>
    <w:rsid w:val="001B113B"/>
    <w:rsid w:val="001B1356"/>
    <w:rsid w:val="001B1686"/>
    <w:rsid w:val="001B2538"/>
    <w:rsid w:val="001B2B31"/>
    <w:rsid w:val="001B76C2"/>
    <w:rsid w:val="001C02EE"/>
    <w:rsid w:val="001C0EFC"/>
    <w:rsid w:val="001C0F99"/>
    <w:rsid w:val="001C2562"/>
    <w:rsid w:val="001C27C0"/>
    <w:rsid w:val="001C4081"/>
    <w:rsid w:val="001D2101"/>
    <w:rsid w:val="001D3DD8"/>
    <w:rsid w:val="001D418C"/>
    <w:rsid w:val="001D4EDA"/>
    <w:rsid w:val="001E03FE"/>
    <w:rsid w:val="001E0B96"/>
    <w:rsid w:val="001E2142"/>
    <w:rsid w:val="001E3DD6"/>
    <w:rsid w:val="001E64FD"/>
    <w:rsid w:val="001F1956"/>
    <w:rsid w:val="001F2EA2"/>
    <w:rsid w:val="001F61DF"/>
    <w:rsid w:val="00203C27"/>
    <w:rsid w:val="00204215"/>
    <w:rsid w:val="002059B9"/>
    <w:rsid w:val="00205BC9"/>
    <w:rsid w:val="002070D9"/>
    <w:rsid w:val="002100A9"/>
    <w:rsid w:val="00210427"/>
    <w:rsid w:val="00212852"/>
    <w:rsid w:val="00213BFA"/>
    <w:rsid w:val="00213DFB"/>
    <w:rsid w:val="00216916"/>
    <w:rsid w:val="00220097"/>
    <w:rsid w:val="002213F4"/>
    <w:rsid w:val="00221AD6"/>
    <w:rsid w:val="00221F1B"/>
    <w:rsid w:val="002239E7"/>
    <w:rsid w:val="00223B16"/>
    <w:rsid w:val="002247ED"/>
    <w:rsid w:val="0022785D"/>
    <w:rsid w:val="00234D4E"/>
    <w:rsid w:val="00237030"/>
    <w:rsid w:val="00244834"/>
    <w:rsid w:val="00251304"/>
    <w:rsid w:val="0025177A"/>
    <w:rsid w:val="00251F64"/>
    <w:rsid w:val="002520CC"/>
    <w:rsid w:val="002537EE"/>
    <w:rsid w:val="0025423A"/>
    <w:rsid w:val="00254C2D"/>
    <w:rsid w:val="0025684F"/>
    <w:rsid w:val="00257573"/>
    <w:rsid w:val="002608BA"/>
    <w:rsid w:val="00261AF6"/>
    <w:rsid w:val="00262CDB"/>
    <w:rsid w:val="00263F61"/>
    <w:rsid w:val="00266A02"/>
    <w:rsid w:val="00266A72"/>
    <w:rsid w:val="00270185"/>
    <w:rsid w:val="00270887"/>
    <w:rsid w:val="0027245C"/>
    <w:rsid w:val="00272900"/>
    <w:rsid w:val="00273105"/>
    <w:rsid w:val="00273C94"/>
    <w:rsid w:val="00274442"/>
    <w:rsid w:val="002754B1"/>
    <w:rsid w:val="00275530"/>
    <w:rsid w:val="00277B8C"/>
    <w:rsid w:val="00280354"/>
    <w:rsid w:val="002815E7"/>
    <w:rsid w:val="00281A04"/>
    <w:rsid w:val="00282580"/>
    <w:rsid w:val="00282E04"/>
    <w:rsid w:val="002839A3"/>
    <w:rsid w:val="00284B49"/>
    <w:rsid w:val="00286614"/>
    <w:rsid w:val="00286FA9"/>
    <w:rsid w:val="00290573"/>
    <w:rsid w:val="00290833"/>
    <w:rsid w:val="002918E3"/>
    <w:rsid w:val="0029216E"/>
    <w:rsid w:val="00292879"/>
    <w:rsid w:val="00294060"/>
    <w:rsid w:val="00294617"/>
    <w:rsid w:val="00294672"/>
    <w:rsid w:val="002A1295"/>
    <w:rsid w:val="002A20DC"/>
    <w:rsid w:val="002A41A4"/>
    <w:rsid w:val="002A4935"/>
    <w:rsid w:val="002A5666"/>
    <w:rsid w:val="002A5AD1"/>
    <w:rsid w:val="002B14A0"/>
    <w:rsid w:val="002B2D13"/>
    <w:rsid w:val="002B2D45"/>
    <w:rsid w:val="002B34C4"/>
    <w:rsid w:val="002B605A"/>
    <w:rsid w:val="002B6143"/>
    <w:rsid w:val="002B6F5F"/>
    <w:rsid w:val="002B7C67"/>
    <w:rsid w:val="002C0F74"/>
    <w:rsid w:val="002C1F4A"/>
    <w:rsid w:val="002C36DA"/>
    <w:rsid w:val="002C4040"/>
    <w:rsid w:val="002C760C"/>
    <w:rsid w:val="002D3E10"/>
    <w:rsid w:val="002D4A0E"/>
    <w:rsid w:val="002E1BA2"/>
    <w:rsid w:val="002E3CB8"/>
    <w:rsid w:val="002E4D38"/>
    <w:rsid w:val="002E7EA2"/>
    <w:rsid w:val="002F0165"/>
    <w:rsid w:val="002F174E"/>
    <w:rsid w:val="002F1C58"/>
    <w:rsid w:val="002F41DF"/>
    <w:rsid w:val="002F5036"/>
    <w:rsid w:val="002F5376"/>
    <w:rsid w:val="002F74DF"/>
    <w:rsid w:val="002F76D5"/>
    <w:rsid w:val="00300644"/>
    <w:rsid w:val="00300FE4"/>
    <w:rsid w:val="00303AA4"/>
    <w:rsid w:val="0031114A"/>
    <w:rsid w:val="00311153"/>
    <w:rsid w:val="00312C72"/>
    <w:rsid w:val="003145DB"/>
    <w:rsid w:val="00315755"/>
    <w:rsid w:val="003159A6"/>
    <w:rsid w:val="00315E4C"/>
    <w:rsid w:val="00316515"/>
    <w:rsid w:val="00320CF1"/>
    <w:rsid w:val="003221C2"/>
    <w:rsid w:val="00322588"/>
    <w:rsid w:val="00324866"/>
    <w:rsid w:val="0032601B"/>
    <w:rsid w:val="0032657B"/>
    <w:rsid w:val="00326CC3"/>
    <w:rsid w:val="00327677"/>
    <w:rsid w:val="00327F48"/>
    <w:rsid w:val="00333774"/>
    <w:rsid w:val="00333BD7"/>
    <w:rsid w:val="00333CEC"/>
    <w:rsid w:val="00333ECD"/>
    <w:rsid w:val="00336D9A"/>
    <w:rsid w:val="003452B6"/>
    <w:rsid w:val="00345716"/>
    <w:rsid w:val="00350230"/>
    <w:rsid w:val="003506DC"/>
    <w:rsid w:val="0035143F"/>
    <w:rsid w:val="00352315"/>
    <w:rsid w:val="003545EA"/>
    <w:rsid w:val="00354E6B"/>
    <w:rsid w:val="00360C54"/>
    <w:rsid w:val="0036199E"/>
    <w:rsid w:val="003646B8"/>
    <w:rsid w:val="00366C7E"/>
    <w:rsid w:val="00370A65"/>
    <w:rsid w:val="00371D77"/>
    <w:rsid w:val="0037358C"/>
    <w:rsid w:val="00374153"/>
    <w:rsid w:val="003766C9"/>
    <w:rsid w:val="003806BD"/>
    <w:rsid w:val="00381185"/>
    <w:rsid w:val="00381DD8"/>
    <w:rsid w:val="0038417B"/>
    <w:rsid w:val="00384D16"/>
    <w:rsid w:val="003850AC"/>
    <w:rsid w:val="00385310"/>
    <w:rsid w:val="00385A99"/>
    <w:rsid w:val="003866F1"/>
    <w:rsid w:val="003917B7"/>
    <w:rsid w:val="00392364"/>
    <w:rsid w:val="00395DD8"/>
    <w:rsid w:val="00396A62"/>
    <w:rsid w:val="003975FA"/>
    <w:rsid w:val="003A2F4E"/>
    <w:rsid w:val="003A430E"/>
    <w:rsid w:val="003A4C36"/>
    <w:rsid w:val="003A51CA"/>
    <w:rsid w:val="003A6F4E"/>
    <w:rsid w:val="003B28CA"/>
    <w:rsid w:val="003B4E99"/>
    <w:rsid w:val="003B7C15"/>
    <w:rsid w:val="003C1BB7"/>
    <w:rsid w:val="003C215C"/>
    <w:rsid w:val="003C3453"/>
    <w:rsid w:val="003C76DF"/>
    <w:rsid w:val="003C7C64"/>
    <w:rsid w:val="003C7CF3"/>
    <w:rsid w:val="003D001A"/>
    <w:rsid w:val="003D1606"/>
    <w:rsid w:val="003D1992"/>
    <w:rsid w:val="003D26B4"/>
    <w:rsid w:val="003D2864"/>
    <w:rsid w:val="003D3288"/>
    <w:rsid w:val="003D54B4"/>
    <w:rsid w:val="003D749F"/>
    <w:rsid w:val="003D7876"/>
    <w:rsid w:val="003D78D7"/>
    <w:rsid w:val="003E0682"/>
    <w:rsid w:val="003E15A6"/>
    <w:rsid w:val="003E2A71"/>
    <w:rsid w:val="003E300B"/>
    <w:rsid w:val="003E3089"/>
    <w:rsid w:val="003E34A8"/>
    <w:rsid w:val="003E5F74"/>
    <w:rsid w:val="003E715F"/>
    <w:rsid w:val="003F06A1"/>
    <w:rsid w:val="003F2016"/>
    <w:rsid w:val="003F23E8"/>
    <w:rsid w:val="003F30E2"/>
    <w:rsid w:val="003F7C2D"/>
    <w:rsid w:val="004001E7"/>
    <w:rsid w:val="004013E0"/>
    <w:rsid w:val="0040265B"/>
    <w:rsid w:val="004027A2"/>
    <w:rsid w:val="0040377C"/>
    <w:rsid w:val="00403E0F"/>
    <w:rsid w:val="004049CC"/>
    <w:rsid w:val="00405907"/>
    <w:rsid w:val="0040656B"/>
    <w:rsid w:val="00406B9A"/>
    <w:rsid w:val="00413555"/>
    <w:rsid w:val="00413CD2"/>
    <w:rsid w:val="004147A0"/>
    <w:rsid w:val="004155DB"/>
    <w:rsid w:val="00415A9B"/>
    <w:rsid w:val="00415CF8"/>
    <w:rsid w:val="004202A8"/>
    <w:rsid w:val="00421D84"/>
    <w:rsid w:val="004241EA"/>
    <w:rsid w:val="00424983"/>
    <w:rsid w:val="00427059"/>
    <w:rsid w:val="004309FB"/>
    <w:rsid w:val="00431819"/>
    <w:rsid w:val="0043224D"/>
    <w:rsid w:val="004324D9"/>
    <w:rsid w:val="00433B1C"/>
    <w:rsid w:val="0043542A"/>
    <w:rsid w:val="00436208"/>
    <w:rsid w:val="004376A3"/>
    <w:rsid w:val="004425BD"/>
    <w:rsid w:val="0044366E"/>
    <w:rsid w:val="0044412E"/>
    <w:rsid w:val="00444A4E"/>
    <w:rsid w:val="00445C06"/>
    <w:rsid w:val="004530EE"/>
    <w:rsid w:val="00453A7F"/>
    <w:rsid w:val="00460747"/>
    <w:rsid w:val="00460FC5"/>
    <w:rsid w:val="00462AAE"/>
    <w:rsid w:val="0046419C"/>
    <w:rsid w:val="00466F76"/>
    <w:rsid w:val="00470F2D"/>
    <w:rsid w:val="00471251"/>
    <w:rsid w:val="00471442"/>
    <w:rsid w:val="00471662"/>
    <w:rsid w:val="00471EB8"/>
    <w:rsid w:val="0048034F"/>
    <w:rsid w:val="00480913"/>
    <w:rsid w:val="00481091"/>
    <w:rsid w:val="004810F6"/>
    <w:rsid w:val="004826B6"/>
    <w:rsid w:val="00484053"/>
    <w:rsid w:val="00484702"/>
    <w:rsid w:val="004864B7"/>
    <w:rsid w:val="00486A2E"/>
    <w:rsid w:val="0049319B"/>
    <w:rsid w:val="004931C5"/>
    <w:rsid w:val="00493A27"/>
    <w:rsid w:val="00494E6D"/>
    <w:rsid w:val="00494EB4"/>
    <w:rsid w:val="00495BB6"/>
    <w:rsid w:val="004969E8"/>
    <w:rsid w:val="00497853"/>
    <w:rsid w:val="004A04D6"/>
    <w:rsid w:val="004A0BB2"/>
    <w:rsid w:val="004A1FFF"/>
    <w:rsid w:val="004A46D8"/>
    <w:rsid w:val="004A4AB9"/>
    <w:rsid w:val="004A57D9"/>
    <w:rsid w:val="004A6477"/>
    <w:rsid w:val="004A6B9D"/>
    <w:rsid w:val="004B0EA9"/>
    <w:rsid w:val="004B37D1"/>
    <w:rsid w:val="004B5B9B"/>
    <w:rsid w:val="004B720C"/>
    <w:rsid w:val="004B73C8"/>
    <w:rsid w:val="004B7A9F"/>
    <w:rsid w:val="004C16D9"/>
    <w:rsid w:val="004C47B9"/>
    <w:rsid w:val="004C5446"/>
    <w:rsid w:val="004D089F"/>
    <w:rsid w:val="004D1409"/>
    <w:rsid w:val="004D36CC"/>
    <w:rsid w:val="004D4202"/>
    <w:rsid w:val="004D71E8"/>
    <w:rsid w:val="004D79A6"/>
    <w:rsid w:val="004D7F8B"/>
    <w:rsid w:val="004E1E52"/>
    <w:rsid w:val="004E332A"/>
    <w:rsid w:val="004E3D92"/>
    <w:rsid w:val="004E4268"/>
    <w:rsid w:val="004E665C"/>
    <w:rsid w:val="004F1FFC"/>
    <w:rsid w:val="004F220F"/>
    <w:rsid w:val="004F2ADC"/>
    <w:rsid w:val="004F579F"/>
    <w:rsid w:val="004F5E7E"/>
    <w:rsid w:val="004F6215"/>
    <w:rsid w:val="004F7447"/>
    <w:rsid w:val="00501D75"/>
    <w:rsid w:val="00503314"/>
    <w:rsid w:val="00503B00"/>
    <w:rsid w:val="00503FEC"/>
    <w:rsid w:val="00504D26"/>
    <w:rsid w:val="00505F73"/>
    <w:rsid w:val="00506F22"/>
    <w:rsid w:val="00510F20"/>
    <w:rsid w:val="00511B5D"/>
    <w:rsid w:val="0051450D"/>
    <w:rsid w:val="00514AA3"/>
    <w:rsid w:val="00514C8F"/>
    <w:rsid w:val="00514E92"/>
    <w:rsid w:val="00515A83"/>
    <w:rsid w:val="00517876"/>
    <w:rsid w:val="0051789A"/>
    <w:rsid w:val="00521918"/>
    <w:rsid w:val="00522391"/>
    <w:rsid w:val="00522607"/>
    <w:rsid w:val="00523CBE"/>
    <w:rsid w:val="00523D83"/>
    <w:rsid w:val="00525189"/>
    <w:rsid w:val="00525DA8"/>
    <w:rsid w:val="0052620D"/>
    <w:rsid w:val="005265F4"/>
    <w:rsid w:val="00527665"/>
    <w:rsid w:val="00527853"/>
    <w:rsid w:val="0053042A"/>
    <w:rsid w:val="00532998"/>
    <w:rsid w:val="00533D2B"/>
    <w:rsid w:val="0053426F"/>
    <w:rsid w:val="00536178"/>
    <w:rsid w:val="00536B66"/>
    <w:rsid w:val="00536C92"/>
    <w:rsid w:val="00540D9F"/>
    <w:rsid w:val="005461A8"/>
    <w:rsid w:val="005477B6"/>
    <w:rsid w:val="00551A3C"/>
    <w:rsid w:val="00553854"/>
    <w:rsid w:val="00553A08"/>
    <w:rsid w:val="00553B41"/>
    <w:rsid w:val="005544AC"/>
    <w:rsid w:val="00556077"/>
    <w:rsid w:val="00560387"/>
    <w:rsid w:val="00560DBB"/>
    <w:rsid w:val="00562A95"/>
    <w:rsid w:val="005631FA"/>
    <w:rsid w:val="0056360B"/>
    <w:rsid w:val="00565861"/>
    <w:rsid w:val="005720F2"/>
    <w:rsid w:val="005726FC"/>
    <w:rsid w:val="005729CD"/>
    <w:rsid w:val="00574C85"/>
    <w:rsid w:val="005755B3"/>
    <w:rsid w:val="00576285"/>
    <w:rsid w:val="00576A35"/>
    <w:rsid w:val="0058028B"/>
    <w:rsid w:val="00580A45"/>
    <w:rsid w:val="00580AB5"/>
    <w:rsid w:val="00580CA0"/>
    <w:rsid w:val="00581E65"/>
    <w:rsid w:val="00582CAF"/>
    <w:rsid w:val="00583251"/>
    <w:rsid w:val="005843EF"/>
    <w:rsid w:val="00585C91"/>
    <w:rsid w:val="00586296"/>
    <w:rsid w:val="005866CF"/>
    <w:rsid w:val="00594382"/>
    <w:rsid w:val="0059458F"/>
    <w:rsid w:val="00595680"/>
    <w:rsid w:val="005A12C3"/>
    <w:rsid w:val="005A2B97"/>
    <w:rsid w:val="005A2F82"/>
    <w:rsid w:val="005A6390"/>
    <w:rsid w:val="005A64AE"/>
    <w:rsid w:val="005A6774"/>
    <w:rsid w:val="005A6D67"/>
    <w:rsid w:val="005B23F0"/>
    <w:rsid w:val="005B2896"/>
    <w:rsid w:val="005B3305"/>
    <w:rsid w:val="005B4824"/>
    <w:rsid w:val="005B48C3"/>
    <w:rsid w:val="005B535B"/>
    <w:rsid w:val="005C04A3"/>
    <w:rsid w:val="005C053F"/>
    <w:rsid w:val="005C2006"/>
    <w:rsid w:val="005C321D"/>
    <w:rsid w:val="005C4580"/>
    <w:rsid w:val="005C5A23"/>
    <w:rsid w:val="005C6E98"/>
    <w:rsid w:val="005D103E"/>
    <w:rsid w:val="005D3794"/>
    <w:rsid w:val="005E1448"/>
    <w:rsid w:val="005E20F5"/>
    <w:rsid w:val="005E3D08"/>
    <w:rsid w:val="005E60AE"/>
    <w:rsid w:val="005F158F"/>
    <w:rsid w:val="005F1914"/>
    <w:rsid w:val="005F2E7D"/>
    <w:rsid w:val="005F32FA"/>
    <w:rsid w:val="005F5C84"/>
    <w:rsid w:val="00600251"/>
    <w:rsid w:val="0060146E"/>
    <w:rsid w:val="00602C4D"/>
    <w:rsid w:val="0060466E"/>
    <w:rsid w:val="0060625E"/>
    <w:rsid w:val="0060752A"/>
    <w:rsid w:val="00607717"/>
    <w:rsid w:val="00607C76"/>
    <w:rsid w:val="00611414"/>
    <w:rsid w:val="006134AC"/>
    <w:rsid w:val="00614502"/>
    <w:rsid w:val="006148DD"/>
    <w:rsid w:val="00614E2D"/>
    <w:rsid w:val="00615034"/>
    <w:rsid w:val="006179B8"/>
    <w:rsid w:val="006210D0"/>
    <w:rsid w:val="00622538"/>
    <w:rsid w:val="00622F04"/>
    <w:rsid w:val="00623D3A"/>
    <w:rsid w:val="006257EB"/>
    <w:rsid w:val="00626FE5"/>
    <w:rsid w:val="006300AE"/>
    <w:rsid w:val="006353FE"/>
    <w:rsid w:val="00637A82"/>
    <w:rsid w:val="006412ED"/>
    <w:rsid w:val="00642984"/>
    <w:rsid w:val="00642AF5"/>
    <w:rsid w:val="00644AFB"/>
    <w:rsid w:val="00645D9B"/>
    <w:rsid w:val="00645E0E"/>
    <w:rsid w:val="0064637E"/>
    <w:rsid w:val="00651FC7"/>
    <w:rsid w:val="00653598"/>
    <w:rsid w:val="00653DB8"/>
    <w:rsid w:val="0065561A"/>
    <w:rsid w:val="0065631B"/>
    <w:rsid w:val="00661B61"/>
    <w:rsid w:val="0066778B"/>
    <w:rsid w:val="0066787B"/>
    <w:rsid w:val="00671A54"/>
    <w:rsid w:val="00671F97"/>
    <w:rsid w:val="0067221A"/>
    <w:rsid w:val="00673C52"/>
    <w:rsid w:val="00675F69"/>
    <w:rsid w:val="00677742"/>
    <w:rsid w:val="00682DC6"/>
    <w:rsid w:val="00683632"/>
    <w:rsid w:val="00684BBB"/>
    <w:rsid w:val="00691DF8"/>
    <w:rsid w:val="006926F5"/>
    <w:rsid w:val="006931DB"/>
    <w:rsid w:val="00697E71"/>
    <w:rsid w:val="006A02CF"/>
    <w:rsid w:val="006A0A7C"/>
    <w:rsid w:val="006A132C"/>
    <w:rsid w:val="006A1E0C"/>
    <w:rsid w:val="006A416B"/>
    <w:rsid w:val="006A449D"/>
    <w:rsid w:val="006A7884"/>
    <w:rsid w:val="006B1BC8"/>
    <w:rsid w:val="006B22A3"/>
    <w:rsid w:val="006B42F6"/>
    <w:rsid w:val="006B4615"/>
    <w:rsid w:val="006C05F7"/>
    <w:rsid w:val="006C0720"/>
    <w:rsid w:val="006C1CF6"/>
    <w:rsid w:val="006C20D3"/>
    <w:rsid w:val="006C34EF"/>
    <w:rsid w:val="006C4E0C"/>
    <w:rsid w:val="006C588C"/>
    <w:rsid w:val="006D0E03"/>
    <w:rsid w:val="006D12F6"/>
    <w:rsid w:val="006D15E8"/>
    <w:rsid w:val="006E018F"/>
    <w:rsid w:val="006E0456"/>
    <w:rsid w:val="006E082F"/>
    <w:rsid w:val="006E433C"/>
    <w:rsid w:val="006E50A5"/>
    <w:rsid w:val="006F1A6E"/>
    <w:rsid w:val="006F430D"/>
    <w:rsid w:val="00703187"/>
    <w:rsid w:val="00703ECD"/>
    <w:rsid w:val="00706B90"/>
    <w:rsid w:val="00707267"/>
    <w:rsid w:val="00707B20"/>
    <w:rsid w:val="00710C78"/>
    <w:rsid w:val="00711491"/>
    <w:rsid w:val="00713341"/>
    <w:rsid w:val="007146EE"/>
    <w:rsid w:val="00716E17"/>
    <w:rsid w:val="007204F3"/>
    <w:rsid w:val="00721279"/>
    <w:rsid w:val="0072170E"/>
    <w:rsid w:val="00721749"/>
    <w:rsid w:val="007227E5"/>
    <w:rsid w:val="00722CCB"/>
    <w:rsid w:val="00723548"/>
    <w:rsid w:val="00723849"/>
    <w:rsid w:val="00723D3F"/>
    <w:rsid w:val="00725EBD"/>
    <w:rsid w:val="007263D2"/>
    <w:rsid w:val="00726DAF"/>
    <w:rsid w:val="00726E26"/>
    <w:rsid w:val="007307FE"/>
    <w:rsid w:val="00730BB8"/>
    <w:rsid w:val="00732C93"/>
    <w:rsid w:val="0073495D"/>
    <w:rsid w:val="00734B08"/>
    <w:rsid w:val="00734D4C"/>
    <w:rsid w:val="00734F87"/>
    <w:rsid w:val="00735CA9"/>
    <w:rsid w:val="00740B17"/>
    <w:rsid w:val="00742792"/>
    <w:rsid w:val="007431F4"/>
    <w:rsid w:val="0074341F"/>
    <w:rsid w:val="00745D3B"/>
    <w:rsid w:val="00750B57"/>
    <w:rsid w:val="00751FED"/>
    <w:rsid w:val="00753569"/>
    <w:rsid w:val="0075380C"/>
    <w:rsid w:val="007562E9"/>
    <w:rsid w:val="00756CDD"/>
    <w:rsid w:val="00760003"/>
    <w:rsid w:val="00761AC9"/>
    <w:rsid w:val="007634F5"/>
    <w:rsid w:val="00763FAF"/>
    <w:rsid w:val="007658CC"/>
    <w:rsid w:val="00766693"/>
    <w:rsid w:val="00766EE0"/>
    <w:rsid w:val="00766EF2"/>
    <w:rsid w:val="00767322"/>
    <w:rsid w:val="00767D1C"/>
    <w:rsid w:val="00770D61"/>
    <w:rsid w:val="00771C2D"/>
    <w:rsid w:val="00771E54"/>
    <w:rsid w:val="007721D0"/>
    <w:rsid w:val="007721F3"/>
    <w:rsid w:val="00772279"/>
    <w:rsid w:val="00772636"/>
    <w:rsid w:val="00772A09"/>
    <w:rsid w:val="00774266"/>
    <w:rsid w:val="00774478"/>
    <w:rsid w:val="00775BB2"/>
    <w:rsid w:val="00777767"/>
    <w:rsid w:val="00777858"/>
    <w:rsid w:val="00777EF8"/>
    <w:rsid w:val="00780472"/>
    <w:rsid w:val="00780666"/>
    <w:rsid w:val="00780C95"/>
    <w:rsid w:val="00783758"/>
    <w:rsid w:val="0078484C"/>
    <w:rsid w:val="00784DCA"/>
    <w:rsid w:val="007850D6"/>
    <w:rsid w:val="007864ED"/>
    <w:rsid w:val="007872D8"/>
    <w:rsid w:val="00793575"/>
    <w:rsid w:val="0079389F"/>
    <w:rsid w:val="00793F5D"/>
    <w:rsid w:val="00795BB3"/>
    <w:rsid w:val="00796CF0"/>
    <w:rsid w:val="007A0D17"/>
    <w:rsid w:val="007A1529"/>
    <w:rsid w:val="007A2D25"/>
    <w:rsid w:val="007A3368"/>
    <w:rsid w:val="007A39AA"/>
    <w:rsid w:val="007A4264"/>
    <w:rsid w:val="007A44B4"/>
    <w:rsid w:val="007A7B27"/>
    <w:rsid w:val="007B1164"/>
    <w:rsid w:val="007B2419"/>
    <w:rsid w:val="007B7A20"/>
    <w:rsid w:val="007C03D6"/>
    <w:rsid w:val="007C0DC2"/>
    <w:rsid w:val="007C1162"/>
    <w:rsid w:val="007C190B"/>
    <w:rsid w:val="007C199E"/>
    <w:rsid w:val="007C437A"/>
    <w:rsid w:val="007C5CEE"/>
    <w:rsid w:val="007C5ED9"/>
    <w:rsid w:val="007C7358"/>
    <w:rsid w:val="007D18F1"/>
    <w:rsid w:val="007D31F9"/>
    <w:rsid w:val="007D5C7D"/>
    <w:rsid w:val="007D698A"/>
    <w:rsid w:val="007D7702"/>
    <w:rsid w:val="007D7A0E"/>
    <w:rsid w:val="007E018D"/>
    <w:rsid w:val="007E02DA"/>
    <w:rsid w:val="007E04E9"/>
    <w:rsid w:val="007E0B4B"/>
    <w:rsid w:val="007E181C"/>
    <w:rsid w:val="007E35E2"/>
    <w:rsid w:val="007E4787"/>
    <w:rsid w:val="007E6527"/>
    <w:rsid w:val="007F1A0C"/>
    <w:rsid w:val="007F3792"/>
    <w:rsid w:val="007F472C"/>
    <w:rsid w:val="007F59F6"/>
    <w:rsid w:val="007F743A"/>
    <w:rsid w:val="007F7981"/>
    <w:rsid w:val="0080142D"/>
    <w:rsid w:val="00805078"/>
    <w:rsid w:val="0081155D"/>
    <w:rsid w:val="00811909"/>
    <w:rsid w:val="0081518E"/>
    <w:rsid w:val="00816738"/>
    <w:rsid w:val="0082115B"/>
    <w:rsid w:val="008215AB"/>
    <w:rsid w:val="00821CB6"/>
    <w:rsid w:val="00821DC4"/>
    <w:rsid w:val="008229FF"/>
    <w:rsid w:val="00823EE2"/>
    <w:rsid w:val="00832083"/>
    <w:rsid w:val="00836742"/>
    <w:rsid w:val="008379AC"/>
    <w:rsid w:val="0084020F"/>
    <w:rsid w:val="00840422"/>
    <w:rsid w:val="00840915"/>
    <w:rsid w:val="00841FEA"/>
    <w:rsid w:val="00844406"/>
    <w:rsid w:val="00846493"/>
    <w:rsid w:val="00846B0A"/>
    <w:rsid w:val="00847C8F"/>
    <w:rsid w:val="008502F2"/>
    <w:rsid w:val="00850632"/>
    <w:rsid w:val="00850722"/>
    <w:rsid w:val="008509A0"/>
    <w:rsid w:val="00851ABA"/>
    <w:rsid w:val="00852225"/>
    <w:rsid w:val="008525B1"/>
    <w:rsid w:val="00852A74"/>
    <w:rsid w:val="0085519A"/>
    <w:rsid w:val="00855C0A"/>
    <w:rsid w:val="0085617B"/>
    <w:rsid w:val="00857580"/>
    <w:rsid w:val="008577BE"/>
    <w:rsid w:val="00860781"/>
    <w:rsid w:val="00860852"/>
    <w:rsid w:val="00861B4E"/>
    <w:rsid w:val="00863A66"/>
    <w:rsid w:val="008643FB"/>
    <w:rsid w:val="008648DF"/>
    <w:rsid w:val="00864ED8"/>
    <w:rsid w:val="008655C7"/>
    <w:rsid w:val="00865DA7"/>
    <w:rsid w:val="0086791A"/>
    <w:rsid w:val="008702DF"/>
    <w:rsid w:val="00874E4D"/>
    <w:rsid w:val="00875201"/>
    <w:rsid w:val="008760F6"/>
    <w:rsid w:val="00876881"/>
    <w:rsid w:val="008779A6"/>
    <w:rsid w:val="00880CD3"/>
    <w:rsid w:val="0088100C"/>
    <w:rsid w:val="00893BFD"/>
    <w:rsid w:val="00893C19"/>
    <w:rsid w:val="00895718"/>
    <w:rsid w:val="0089587C"/>
    <w:rsid w:val="008A0C7A"/>
    <w:rsid w:val="008A0D24"/>
    <w:rsid w:val="008A1937"/>
    <w:rsid w:val="008A2931"/>
    <w:rsid w:val="008A2C9C"/>
    <w:rsid w:val="008A3A98"/>
    <w:rsid w:val="008A3B8E"/>
    <w:rsid w:val="008A7080"/>
    <w:rsid w:val="008B2673"/>
    <w:rsid w:val="008B3461"/>
    <w:rsid w:val="008B4DCD"/>
    <w:rsid w:val="008B5088"/>
    <w:rsid w:val="008B6190"/>
    <w:rsid w:val="008B6457"/>
    <w:rsid w:val="008B65FA"/>
    <w:rsid w:val="008C02E0"/>
    <w:rsid w:val="008C10BA"/>
    <w:rsid w:val="008C17EB"/>
    <w:rsid w:val="008C2671"/>
    <w:rsid w:val="008C2A35"/>
    <w:rsid w:val="008C361C"/>
    <w:rsid w:val="008C4157"/>
    <w:rsid w:val="008C4C37"/>
    <w:rsid w:val="008C5189"/>
    <w:rsid w:val="008C5890"/>
    <w:rsid w:val="008C72BB"/>
    <w:rsid w:val="008D01BC"/>
    <w:rsid w:val="008D076D"/>
    <w:rsid w:val="008D5D72"/>
    <w:rsid w:val="008D66E2"/>
    <w:rsid w:val="008D7727"/>
    <w:rsid w:val="008D7A86"/>
    <w:rsid w:val="008E062A"/>
    <w:rsid w:val="008E2727"/>
    <w:rsid w:val="008E36C1"/>
    <w:rsid w:val="008E440A"/>
    <w:rsid w:val="008E5BA5"/>
    <w:rsid w:val="008F0119"/>
    <w:rsid w:val="008F132B"/>
    <w:rsid w:val="008F14CB"/>
    <w:rsid w:val="008F5930"/>
    <w:rsid w:val="008F6367"/>
    <w:rsid w:val="00900116"/>
    <w:rsid w:val="00900AA7"/>
    <w:rsid w:val="00900E80"/>
    <w:rsid w:val="0090663A"/>
    <w:rsid w:val="00906A21"/>
    <w:rsid w:val="00912387"/>
    <w:rsid w:val="00914568"/>
    <w:rsid w:val="009170F7"/>
    <w:rsid w:val="0092183C"/>
    <w:rsid w:val="00924FF2"/>
    <w:rsid w:val="00926D8B"/>
    <w:rsid w:val="0093570F"/>
    <w:rsid w:val="009359C2"/>
    <w:rsid w:val="00936D1B"/>
    <w:rsid w:val="00936FBE"/>
    <w:rsid w:val="00941E7F"/>
    <w:rsid w:val="00942B9B"/>
    <w:rsid w:val="00943C42"/>
    <w:rsid w:val="009442A0"/>
    <w:rsid w:val="009450C0"/>
    <w:rsid w:val="0094645D"/>
    <w:rsid w:val="009501BC"/>
    <w:rsid w:val="009508F1"/>
    <w:rsid w:val="00950F88"/>
    <w:rsid w:val="00953C05"/>
    <w:rsid w:val="00954745"/>
    <w:rsid w:val="0095611B"/>
    <w:rsid w:val="00956820"/>
    <w:rsid w:val="00961875"/>
    <w:rsid w:val="009621F9"/>
    <w:rsid w:val="00965FA4"/>
    <w:rsid w:val="00970014"/>
    <w:rsid w:val="00970753"/>
    <w:rsid w:val="009718CB"/>
    <w:rsid w:val="00974CBE"/>
    <w:rsid w:val="009756D9"/>
    <w:rsid w:val="00977F72"/>
    <w:rsid w:val="009815B0"/>
    <w:rsid w:val="00981CD0"/>
    <w:rsid w:val="0098344D"/>
    <w:rsid w:val="00984499"/>
    <w:rsid w:val="00985902"/>
    <w:rsid w:val="009868DD"/>
    <w:rsid w:val="00987FE4"/>
    <w:rsid w:val="009944D3"/>
    <w:rsid w:val="00994590"/>
    <w:rsid w:val="009946AC"/>
    <w:rsid w:val="009951E4"/>
    <w:rsid w:val="00996BD6"/>
    <w:rsid w:val="00997A62"/>
    <w:rsid w:val="00997D7E"/>
    <w:rsid w:val="009A08B7"/>
    <w:rsid w:val="009A4A5E"/>
    <w:rsid w:val="009A4E5A"/>
    <w:rsid w:val="009A6527"/>
    <w:rsid w:val="009B2D8C"/>
    <w:rsid w:val="009B32D8"/>
    <w:rsid w:val="009B4CBE"/>
    <w:rsid w:val="009B503A"/>
    <w:rsid w:val="009C290D"/>
    <w:rsid w:val="009C31DC"/>
    <w:rsid w:val="009C4A04"/>
    <w:rsid w:val="009D1740"/>
    <w:rsid w:val="009D1DEE"/>
    <w:rsid w:val="009D2AF4"/>
    <w:rsid w:val="009D441F"/>
    <w:rsid w:val="009D605C"/>
    <w:rsid w:val="009D6244"/>
    <w:rsid w:val="009D6501"/>
    <w:rsid w:val="009D6C1F"/>
    <w:rsid w:val="009D6EE2"/>
    <w:rsid w:val="009E06F0"/>
    <w:rsid w:val="009E17AF"/>
    <w:rsid w:val="009E532E"/>
    <w:rsid w:val="009E6D96"/>
    <w:rsid w:val="009E6F36"/>
    <w:rsid w:val="009E72CC"/>
    <w:rsid w:val="009F0635"/>
    <w:rsid w:val="009F50E1"/>
    <w:rsid w:val="009F690B"/>
    <w:rsid w:val="009F7CB5"/>
    <w:rsid w:val="00A00727"/>
    <w:rsid w:val="00A017CA"/>
    <w:rsid w:val="00A01D10"/>
    <w:rsid w:val="00A03892"/>
    <w:rsid w:val="00A047F6"/>
    <w:rsid w:val="00A05072"/>
    <w:rsid w:val="00A05759"/>
    <w:rsid w:val="00A07210"/>
    <w:rsid w:val="00A1056B"/>
    <w:rsid w:val="00A12966"/>
    <w:rsid w:val="00A16100"/>
    <w:rsid w:val="00A170FC"/>
    <w:rsid w:val="00A236D5"/>
    <w:rsid w:val="00A24708"/>
    <w:rsid w:val="00A2573B"/>
    <w:rsid w:val="00A26364"/>
    <w:rsid w:val="00A32910"/>
    <w:rsid w:val="00A36034"/>
    <w:rsid w:val="00A37162"/>
    <w:rsid w:val="00A42D96"/>
    <w:rsid w:val="00A43193"/>
    <w:rsid w:val="00A46D74"/>
    <w:rsid w:val="00A4799B"/>
    <w:rsid w:val="00A509E5"/>
    <w:rsid w:val="00A50E85"/>
    <w:rsid w:val="00A515A2"/>
    <w:rsid w:val="00A51AC1"/>
    <w:rsid w:val="00A51D53"/>
    <w:rsid w:val="00A53F46"/>
    <w:rsid w:val="00A549C9"/>
    <w:rsid w:val="00A54B6D"/>
    <w:rsid w:val="00A56FB4"/>
    <w:rsid w:val="00A572F0"/>
    <w:rsid w:val="00A6203B"/>
    <w:rsid w:val="00A631ED"/>
    <w:rsid w:val="00A6425A"/>
    <w:rsid w:val="00A650A8"/>
    <w:rsid w:val="00A656C5"/>
    <w:rsid w:val="00A6634D"/>
    <w:rsid w:val="00A66606"/>
    <w:rsid w:val="00A67914"/>
    <w:rsid w:val="00A67C8C"/>
    <w:rsid w:val="00A70100"/>
    <w:rsid w:val="00A71B86"/>
    <w:rsid w:val="00A71DD1"/>
    <w:rsid w:val="00A72256"/>
    <w:rsid w:val="00A744D6"/>
    <w:rsid w:val="00A756C0"/>
    <w:rsid w:val="00A80FDB"/>
    <w:rsid w:val="00A81204"/>
    <w:rsid w:val="00A812EC"/>
    <w:rsid w:val="00A83220"/>
    <w:rsid w:val="00A83D7D"/>
    <w:rsid w:val="00A87A29"/>
    <w:rsid w:val="00A87F87"/>
    <w:rsid w:val="00A91C2B"/>
    <w:rsid w:val="00A96E9E"/>
    <w:rsid w:val="00A97C2E"/>
    <w:rsid w:val="00AA1554"/>
    <w:rsid w:val="00AA7B47"/>
    <w:rsid w:val="00AA7EFE"/>
    <w:rsid w:val="00AB007D"/>
    <w:rsid w:val="00AB06AC"/>
    <w:rsid w:val="00AB2706"/>
    <w:rsid w:val="00AB58EC"/>
    <w:rsid w:val="00AB60F8"/>
    <w:rsid w:val="00AB68A3"/>
    <w:rsid w:val="00AB6A6C"/>
    <w:rsid w:val="00AB7A01"/>
    <w:rsid w:val="00AB7C38"/>
    <w:rsid w:val="00AC25DE"/>
    <w:rsid w:val="00AC2A91"/>
    <w:rsid w:val="00AC724C"/>
    <w:rsid w:val="00AD44E3"/>
    <w:rsid w:val="00AE00DA"/>
    <w:rsid w:val="00AE0D33"/>
    <w:rsid w:val="00AE34EB"/>
    <w:rsid w:val="00AE4515"/>
    <w:rsid w:val="00AE4531"/>
    <w:rsid w:val="00AE6F62"/>
    <w:rsid w:val="00AE6FF4"/>
    <w:rsid w:val="00AF026B"/>
    <w:rsid w:val="00AF0288"/>
    <w:rsid w:val="00AF048D"/>
    <w:rsid w:val="00AF223D"/>
    <w:rsid w:val="00AF3144"/>
    <w:rsid w:val="00AF3E40"/>
    <w:rsid w:val="00AF5C77"/>
    <w:rsid w:val="00AF661A"/>
    <w:rsid w:val="00B00384"/>
    <w:rsid w:val="00B0089A"/>
    <w:rsid w:val="00B021CF"/>
    <w:rsid w:val="00B05D93"/>
    <w:rsid w:val="00B067F1"/>
    <w:rsid w:val="00B11783"/>
    <w:rsid w:val="00B126D9"/>
    <w:rsid w:val="00B1318F"/>
    <w:rsid w:val="00B13929"/>
    <w:rsid w:val="00B14AB1"/>
    <w:rsid w:val="00B14CC1"/>
    <w:rsid w:val="00B16071"/>
    <w:rsid w:val="00B201D5"/>
    <w:rsid w:val="00B20527"/>
    <w:rsid w:val="00B218E2"/>
    <w:rsid w:val="00B244CF"/>
    <w:rsid w:val="00B245DF"/>
    <w:rsid w:val="00B24BAB"/>
    <w:rsid w:val="00B2501C"/>
    <w:rsid w:val="00B26149"/>
    <w:rsid w:val="00B273EA"/>
    <w:rsid w:val="00B338F5"/>
    <w:rsid w:val="00B346A1"/>
    <w:rsid w:val="00B34E04"/>
    <w:rsid w:val="00B3508B"/>
    <w:rsid w:val="00B371C0"/>
    <w:rsid w:val="00B37EF0"/>
    <w:rsid w:val="00B43F6A"/>
    <w:rsid w:val="00B45298"/>
    <w:rsid w:val="00B5296D"/>
    <w:rsid w:val="00B52FF1"/>
    <w:rsid w:val="00B53BA5"/>
    <w:rsid w:val="00B54880"/>
    <w:rsid w:val="00B56482"/>
    <w:rsid w:val="00B6062A"/>
    <w:rsid w:val="00B628E4"/>
    <w:rsid w:val="00B63205"/>
    <w:rsid w:val="00B63576"/>
    <w:rsid w:val="00B6436A"/>
    <w:rsid w:val="00B659EF"/>
    <w:rsid w:val="00B65E51"/>
    <w:rsid w:val="00B66A05"/>
    <w:rsid w:val="00B70449"/>
    <w:rsid w:val="00B71BFC"/>
    <w:rsid w:val="00B72086"/>
    <w:rsid w:val="00B73951"/>
    <w:rsid w:val="00B74937"/>
    <w:rsid w:val="00B749F6"/>
    <w:rsid w:val="00B74DE6"/>
    <w:rsid w:val="00B7575C"/>
    <w:rsid w:val="00B8002F"/>
    <w:rsid w:val="00B80D1E"/>
    <w:rsid w:val="00B821A3"/>
    <w:rsid w:val="00B838C4"/>
    <w:rsid w:val="00B85B07"/>
    <w:rsid w:val="00B8635A"/>
    <w:rsid w:val="00B87C1A"/>
    <w:rsid w:val="00B91B50"/>
    <w:rsid w:val="00B92F67"/>
    <w:rsid w:val="00B931E2"/>
    <w:rsid w:val="00B9591E"/>
    <w:rsid w:val="00B95B94"/>
    <w:rsid w:val="00B972A5"/>
    <w:rsid w:val="00BA21B7"/>
    <w:rsid w:val="00BA28B2"/>
    <w:rsid w:val="00BA3E9B"/>
    <w:rsid w:val="00BA6F9A"/>
    <w:rsid w:val="00BB174B"/>
    <w:rsid w:val="00BB2017"/>
    <w:rsid w:val="00BB22A9"/>
    <w:rsid w:val="00BB2D76"/>
    <w:rsid w:val="00BB2E36"/>
    <w:rsid w:val="00BB5B14"/>
    <w:rsid w:val="00BB7AF0"/>
    <w:rsid w:val="00BC1385"/>
    <w:rsid w:val="00BC19BF"/>
    <w:rsid w:val="00BC2F1F"/>
    <w:rsid w:val="00BC3E49"/>
    <w:rsid w:val="00BC4723"/>
    <w:rsid w:val="00BC5C8B"/>
    <w:rsid w:val="00BC5D83"/>
    <w:rsid w:val="00BC6C5C"/>
    <w:rsid w:val="00BD087D"/>
    <w:rsid w:val="00BD0B1B"/>
    <w:rsid w:val="00BD0E6C"/>
    <w:rsid w:val="00BD15E8"/>
    <w:rsid w:val="00BD4535"/>
    <w:rsid w:val="00BD6841"/>
    <w:rsid w:val="00BE13EF"/>
    <w:rsid w:val="00BE167C"/>
    <w:rsid w:val="00BE1B8A"/>
    <w:rsid w:val="00BE1EC0"/>
    <w:rsid w:val="00BE25DD"/>
    <w:rsid w:val="00BE26DD"/>
    <w:rsid w:val="00BE3648"/>
    <w:rsid w:val="00BE65ED"/>
    <w:rsid w:val="00BE6B0A"/>
    <w:rsid w:val="00BE6D2A"/>
    <w:rsid w:val="00BF0DE9"/>
    <w:rsid w:val="00BF1292"/>
    <w:rsid w:val="00BF6AF0"/>
    <w:rsid w:val="00C01012"/>
    <w:rsid w:val="00C041A8"/>
    <w:rsid w:val="00C04A33"/>
    <w:rsid w:val="00C073A8"/>
    <w:rsid w:val="00C07A36"/>
    <w:rsid w:val="00C102D2"/>
    <w:rsid w:val="00C1078A"/>
    <w:rsid w:val="00C11547"/>
    <w:rsid w:val="00C115C5"/>
    <w:rsid w:val="00C15470"/>
    <w:rsid w:val="00C16144"/>
    <w:rsid w:val="00C24A4B"/>
    <w:rsid w:val="00C24FD7"/>
    <w:rsid w:val="00C2711E"/>
    <w:rsid w:val="00C31AD9"/>
    <w:rsid w:val="00C31F39"/>
    <w:rsid w:val="00C32184"/>
    <w:rsid w:val="00C32F46"/>
    <w:rsid w:val="00C33AB8"/>
    <w:rsid w:val="00C3439B"/>
    <w:rsid w:val="00C37A52"/>
    <w:rsid w:val="00C40321"/>
    <w:rsid w:val="00C405EE"/>
    <w:rsid w:val="00C411BA"/>
    <w:rsid w:val="00C421C5"/>
    <w:rsid w:val="00C4267D"/>
    <w:rsid w:val="00C42AED"/>
    <w:rsid w:val="00C42E98"/>
    <w:rsid w:val="00C44306"/>
    <w:rsid w:val="00C4478D"/>
    <w:rsid w:val="00C45CE3"/>
    <w:rsid w:val="00C50E10"/>
    <w:rsid w:val="00C519DA"/>
    <w:rsid w:val="00C52032"/>
    <w:rsid w:val="00C52A28"/>
    <w:rsid w:val="00C57CA2"/>
    <w:rsid w:val="00C63038"/>
    <w:rsid w:val="00C6366B"/>
    <w:rsid w:val="00C63984"/>
    <w:rsid w:val="00C63BCF"/>
    <w:rsid w:val="00C652EA"/>
    <w:rsid w:val="00C66197"/>
    <w:rsid w:val="00C701B7"/>
    <w:rsid w:val="00C71D55"/>
    <w:rsid w:val="00C72BF7"/>
    <w:rsid w:val="00C73932"/>
    <w:rsid w:val="00C75046"/>
    <w:rsid w:val="00C7660C"/>
    <w:rsid w:val="00C76849"/>
    <w:rsid w:val="00C805EA"/>
    <w:rsid w:val="00C810D1"/>
    <w:rsid w:val="00C81B01"/>
    <w:rsid w:val="00C85EA7"/>
    <w:rsid w:val="00C90037"/>
    <w:rsid w:val="00C911B2"/>
    <w:rsid w:val="00C92A56"/>
    <w:rsid w:val="00C92A96"/>
    <w:rsid w:val="00C9346C"/>
    <w:rsid w:val="00C936B2"/>
    <w:rsid w:val="00C94636"/>
    <w:rsid w:val="00C9481E"/>
    <w:rsid w:val="00C94FEB"/>
    <w:rsid w:val="00C968F7"/>
    <w:rsid w:val="00CA010D"/>
    <w:rsid w:val="00CA2716"/>
    <w:rsid w:val="00CA2C74"/>
    <w:rsid w:val="00CA3139"/>
    <w:rsid w:val="00CA3D2C"/>
    <w:rsid w:val="00CA452B"/>
    <w:rsid w:val="00CA7C7B"/>
    <w:rsid w:val="00CB0800"/>
    <w:rsid w:val="00CB1EE5"/>
    <w:rsid w:val="00CB21BC"/>
    <w:rsid w:val="00CB3137"/>
    <w:rsid w:val="00CB3DEA"/>
    <w:rsid w:val="00CB552A"/>
    <w:rsid w:val="00CB7DA7"/>
    <w:rsid w:val="00CB7FCF"/>
    <w:rsid w:val="00CC0164"/>
    <w:rsid w:val="00CC04B8"/>
    <w:rsid w:val="00CC3039"/>
    <w:rsid w:val="00CC4E38"/>
    <w:rsid w:val="00CC5C83"/>
    <w:rsid w:val="00CC6960"/>
    <w:rsid w:val="00CD0D57"/>
    <w:rsid w:val="00CD1A2F"/>
    <w:rsid w:val="00CD2259"/>
    <w:rsid w:val="00CD2463"/>
    <w:rsid w:val="00CD587F"/>
    <w:rsid w:val="00CD6B42"/>
    <w:rsid w:val="00CD6EC9"/>
    <w:rsid w:val="00CE25E4"/>
    <w:rsid w:val="00CE5BC1"/>
    <w:rsid w:val="00CF1420"/>
    <w:rsid w:val="00CF2243"/>
    <w:rsid w:val="00CF22EB"/>
    <w:rsid w:val="00CF3C92"/>
    <w:rsid w:val="00CF41E7"/>
    <w:rsid w:val="00CF5C16"/>
    <w:rsid w:val="00CF7201"/>
    <w:rsid w:val="00CF7D85"/>
    <w:rsid w:val="00D00749"/>
    <w:rsid w:val="00D019CB"/>
    <w:rsid w:val="00D03622"/>
    <w:rsid w:val="00D04290"/>
    <w:rsid w:val="00D044CD"/>
    <w:rsid w:val="00D06FAC"/>
    <w:rsid w:val="00D07523"/>
    <w:rsid w:val="00D1471E"/>
    <w:rsid w:val="00D15717"/>
    <w:rsid w:val="00D16AF3"/>
    <w:rsid w:val="00D17B9C"/>
    <w:rsid w:val="00D21FA7"/>
    <w:rsid w:val="00D2404C"/>
    <w:rsid w:val="00D2487B"/>
    <w:rsid w:val="00D25AF0"/>
    <w:rsid w:val="00D264FC"/>
    <w:rsid w:val="00D279D6"/>
    <w:rsid w:val="00D27AF2"/>
    <w:rsid w:val="00D27DDF"/>
    <w:rsid w:val="00D307FB"/>
    <w:rsid w:val="00D30F5B"/>
    <w:rsid w:val="00D3223C"/>
    <w:rsid w:val="00D328C0"/>
    <w:rsid w:val="00D335BF"/>
    <w:rsid w:val="00D3469F"/>
    <w:rsid w:val="00D34E69"/>
    <w:rsid w:val="00D362D4"/>
    <w:rsid w:val="00D370F1"/>
    <w:rsid w:val="00D37BC5"/>
    <w:rsid w:val="00D40257"/>
    <w:rsid w:val="00D40F51"/>
    <w:rsid w:val="00D43529"/>
    <w:rsid w:val="00D44605"/>
    <w:rsid w:val="00D50494"/>
    <w:rsid w:val="00D513B1"/>
    <w:rsid w:val="00D5161E"/>
    <w:rsid w:val="00D517C7"/>
    <w:rsid w:val="00D518B1"/>
    <w:rsid w:val="00D5228E"/>
    <w:rsid w:val="00D53A76"/>
    <w:rsid w:val="00D540BF"/>
    <w:rsid w:val="00D575CF"/>
    <w:rsid w:val="00D62551"/>
    <w:rsid w:val="00D641A5"/>
    <w:rsid w:val="00D65630"/>
    <w:rsid w:val="00D66008"/>
    <w:rsid w:val="00D6608E"/>
    <w:rsid w:val="00D671EF"/>
    <w:rsid w:val="00D70337"/>
    <w:rsid w:val="00D72686"/>
    <w:rsid w:val="00D7299D"/>
    <w:rsid w:val="00D72F24"/>
    <w:rsid w:val="00D733F5"/>
    <w:rsid w:val="00D74F16"/>
    <w:rsid w:val="00D8127D"/>
    <w:rsid w:val="00D8334F"/>
    <w:rsid w:val="00D83392"/>
    <w:rsid w:val="00D872C7"/>
    <w:rsid w:val="00D9152B"/>
    <w:rsid w:val="00D9169A"/>
    <w:rsid w:val="00D92289"/>
    <w:rsid w:val="00D93A9E"/>
    <w:rsid w:val="00D964B2"/>
    <w:rsid w:val="00D971D5"/>
    <w:rsid w:val="00DA01E7"/>
    <w:rsid w:val="00DA5A4E"/>
    <w:rsid w:val="00DA5ABA"/>
    <w:rsid w:val="00DA7EF8"/>
    <w:rsid w:val="00DB07D6"/>
    <w:rsid w:val="00DB0E1A"/>
    <w:rsid w:val="00DB23FC"/>
    <w:rsid w:val="00DB653D"/>
    <w:rsid w:val="00DB73DA"/>
    <w:rsid w:val="00DC1F72"/>
    <w:rsid w:val="00DC24E3"/>
    <w:rsid w:val="00DC51E3"/>
    <w:rsid w:val="00DC7A14"/>
    <w:rsid w:val="00DD009B"/>
    <w:rsid w:val="00DD1538"/>
    <w:rsid w:val="00DD1D0D"/>
    <w:rsid w:val="00DD1DB1"/>
    <w:rsid w:val="00DD1FDB"/>
    <w:rsid w:val="00DD3D96"/>
    <w:rsid w:val="00DD47F3"/>
    <w:rsid w:val="00DD6983"/>
    <w:rsid w:val="00DE1F87"/>
    <w:rsid w:val="00DE321F"/>
    <w:rsid w:val="00DE3729"/>
    <w:rsid w:val="00DE403D"/>
    <w:rsid w:val="00DE5D3A"/>
    <w:rsid w:val="00DE6802"/>
    <w:rsid w:val="00DF4043"/>
    <w:rsid w:val="00DF4C24"/>
    <w:rsid w:val="00E0049D"/>
    <w:rsid w:val="00E009BD"/>
    <w:rsid w:val="00E00EB2"/>
    <w:rsid w:val="00E0181B"/>
    <w:rsid w:val="00E02387"/>
    <w:rsid w:val="00E02BCE"/>
    <w:rsid w:val="00E07195"/>
    <w:rsid w:val="00E07F9C"/>
    <w:rsid w:val="00E10E65"/>
    <w:rsid w:val="00E12BEB"/>
    <w:rsid w:val="00E13057"/>
    <w:rsid w:val="00E148D9"/>
    <w:rsid w:val="00E163E8"/>
    <w:rsid w:val="00E20966"/>
    <w:rsid w:val="00E21430"/>
    <w:rsid w:val="00E214B8"/>
    <w:rsid w:val="00E22682"/>
    <w:rsid w:val="00E227D7"/>
    <w:rsid w:val="00E231B2"/>
    <w:rsid w:val="00E24FE7"/>
    <w:rsid w:val="00E25F99"/>
    <w:rsid w:val="00E26258"/>
    <w:rsid w:val="00E30BF5"/>
    <w:rsid w:val="00E32773"/>
    <w:rsid w:val="00E33032"/>
    <w:rsid w:val="00E34299"/>
    <w:rsid w:val="00E3467A"/>
    <w:rsid w:val="00E3613C"/>
    <w:rsid w:val="00E401EA"/>
    <w:rsid w:val="00E428EB"/>
    <w:rsid w:val="00E438B3"/>
    <w:rsid w:val="00E444F8"/>
    <w:rsid w:val="00E45258"/>
    <w:rsid w:val="00E4681E"/>
    <w:rsid w:val="00E5078D"/>
    <w:rsid w:val="00E51CD9"/>
    <w:rsid w:val="00E53095"/>
    <w:rsid w:val="00E53460"/>
    <w:rsid w:val="00E53FD4"/>
    <w:rsid w:val="00E5548A"/>
    <w:rsid w:val="00E55CFC"/>
    <w:rsid w:val="00E55ED8"/>
    <w:rsid w:val="00E62DBE"/>
    <w:rsid w:val="00E64BA9"/>
    <w:rsid w:val="00E659E3"/>
    <w:rsid w:val="00E660C5"/>
    <w:rsid w:val="00E70CEC"/>
    <w:rsid w:val="00E72D15"/>
    <w:rsid w:val="00E73FEF"/>
    <w:rsid w:val="00E7442A"/>
    <w:rsid w:val="00E748E8"/>
    <w:rsid w:val="00E75289"/>
    <w:rsid w:val="00E77DF9"/>
    <w:rsid w:val="00E80FDE"/>
    <w:rsid w:val="00E82319"/>
    <w:rsid w:val="00E85840"/>
    <w:rsid w:val="00E86053"/>
    <w:rsid w:val="00E878B7"/>
    <w:rsid w:val="00E9000F"/>
    <w:rsid w:val="00E92EB4"/>
    <w:rsid w:val="00E93A20"/>
    <w:rsid w:val="00E94766"/>
    <w:rsid w:val="00E95269"/>
    <w:rsid w:val="00E95818"/>
    <w:rsid w:val="00EA05D2"/>
    <w:rsid w:val="00EA13EE"/>
    <w:rsid w:val="00EA347A"/>
    <w:rsid w:val="00EA4EB2"/>
    <w:rsid w:val="00EA6162"/>
    <w:rsid w:val="00EA6C78"/>
    <w:rsid w:val="00EA7034"/>
    <w:rsid w:val="00EA7925"/>
    <w:rsid w:val="00EB3F7F"/>
    <w:rsid w:val="00EB5784"/>
    <w:rsid w:val="00EC0485"/>
    <w:rsid w:val="00EC0AB9"/>
    <w:rsid w:val="00EC0E8A"/>
    <w:rsid w:val="00EC299E"/>
    <w:rsid w:val="00EC29C3"/>
    <w:rsid w:val="00EC40B5"/>
    <w:rsid w:val="00EC42C6"/>
    <w:rsid w:val="00EC53E9"/>
    <w:rsid w:val="00EC64B6"/>
    <w:rsid w:val="00EC7DFF"/>
    <w:rsid w:val="00ED0F8D"/>
    <w:rsid w:val="00ED1487"/>
    <w:rsid w:val="00ED56D6"/>
    <w:rsid w:val="00ED6F51"/>
    <w:rsid w:val="00ED7852"/>
    <w:rsid w:val="00ED78DF"/>
    <w:rsid w:val="00ED7C8B"/>
    <w:rsid w:val="00EE0CFC"/>
    <w:rsid w:val="00EE12DD"/>
    <w:rsid w:val="00EE138A"/>
    <w:rsid w:val="00EE19F0"/>
    <w:rsid w:val="00EE2A45"/>
    <w:rsid w:val="00EE2D0C"/>
    <w:rsid w:val="00EE3640"/>
    <w:rsid w:val="00EE3BA6"/>
    <w:rsid w:val="00EE4CEB"/>
    <w:rsid w:val="00EE4F38"/>
    <w:rsid w:val="00EF17C1"/>
    <w:rsid w:val="00EF4138"/>
    <w:rsid w:val="00F02957"/>
    <w:rsid w:val="00F0315C"/>
    <w:rsid w:val="00F05A43"/>
    <w:rsid w:val="00F05BAF"/>
    <w:rsid w:val="00F063BA"/>
    <w:rsid w:val="00F07922"/>
    <w:rsid w:val="00F11B75"/>
    <w:rsid w:val="00F1315E"/>
    <w:rsid w:val="00F145C3"/>
    <w:rsid w:val="00F14A20"/>
    <w:rsid w:val="00F1509A"/>
    <w:rsid w:val="00F209BF"/>
    <w:rsid w:val="00F21CF9"/>
    <w:rsid w:val="00F2267B"/>
    <w:rsid w:val="00F23C11"/>
    <w:rsid w:val="00F243B1"/>
    <w:rsid w:val="00F25CB7"/>
    <w:rsid w:val="00F26D8C"/>
    <w:rsid w:val="00F275E9"/>
    <w:rsid w:val="00F27EC2"/>
    <w:rsid w:val="00F3139D"/>
    <w:rsid w:val="00F31998"/>
    <w:rsid w:val="00F33198"/>
    <w:rsid w:val="00F35F65"/>
    <w:rsid w:val="00F3606F"/>
    <w:rsid w:val="00F37309"/>
    <w:rsid w:val="00F408A3"/>
    <w:rsid w:val="00F41E70"/>
    <w:rsid w:val="00F43BAC"/>
    <w:rsid w:val="00F46704"/>
    <w:rsid w:val="00F51BD6"/>
    <w:rsid w:val="00F51D74"/>
    <w:rsid w:val="00F528A4"/>
    <w:rsid w:val="00F55011"/>
    <w:rsid w:val="00F5675C"/>
    <w:rsid w:val="00F60BB5"/>
    <w:rsid w:val="00F627A7"/>
    <w:rsid w:val="00F632E6"/>
    <w:rsid w:val="00F63E9A"/>
    <w:rsid w:val="00F66D24"/>
    <w:rsid w:val="00F67C5A"/>
    <w:rsid w:val="00F67DC1"/>
    <w:rsid w:val="00F71C74"/>
    <w:rsid w:val="00F72DCA"/>
    <w:rsid w:val="00F74AB2"/>
    <w:rsid w:val="00F76C5E"/>
    <w:rsid w:val="00F8069F"/>
    <w:rsid w:val="00F83FBA"/>
    <w:rsid w:val="00F844C9"/>
    <w:rsid w:val="00F853F9"/>
    <w:rsid w:val="00F8630C"/>
    <w:rsid w:val="00F871D9"/>
    <w:rsid w:val="00F87E2A"/>
    <w:rsid w:val="00F954FD"/>
    <w:rsid w:val="00F96F2F"/>
    <w:rsid w:val="00FA2017"/>
    <w:rsid w:val="00FA5C3A"/>
    <w:rsid w:val="00FA765F"/>
    <w:rsid w:val="00FB0C30"/>
    <w:rsid w:val="00FB10EE"/>
    <w:rsid w:val="00FB3DC8"/>
    <w:rsid w:val="00FB3E1E"/>
    <w:rsid w:val="00FB55EC"/>
    <w:rsid w:val="00FB67A2"/>
    <w:rsid w:val="00FB755C"/>
    <w:rsid w:val="00FC0EA3"/>
    <w:rsid w:val="00FC2204"/>
    <w:rsid w:val="00FC2216"/>
    <w:rsid w:val="00FC38A7"/>
    <w:rsid w:val="00FC446D"/>
    <w:rsid w:val="00FC4684"/>
    <w:rsid w:val="00FC5CBA"/>
    <w:rsid w:val="00FC7855"/>
    <w:rsid w:val="00FD00A9"/>
    <w:rsid w:val="00FD034E"/>
    <w:rsid w:val="00FD0B52"/>
    <w:rsid w:val="00FD3E4D"/>
    <w:rsid w:val="00FD459D"/>
    <w:rsid w:val="00FD5A3F"/>
    <w:rsid w:val="00FE28B7"/>
    <w:rsid w:val="00FE3E72"/>
    <w:rsid w:val="00FE4FDF"/>
    <w:rsid w:val="00FE73BD"/>
    <w:rsid w:val="00FF03C1"/>
    <w:rsid w:val="00FF089A"/>
    <w:rsid w:val="00FF3D4A"/>
  </w:rsids>
  <m:mathPr>
    <m:mathFont m:val="Abadi MT Condensed Light"/>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1B"/>
    <w:rPr>
      <w:sz w:val="20"/>
    </w:rPr>
  </w:style>
  <w:style w:type="paragraph" w:styleId="Heading1">
    <w:name w:val="heading 1"/>
    <w:basedOn w:val="Normal"/>
    <w:next w:val="Normal"/>
    <w:link w:val="Heading1Char"/>
    <w:uiPriority w:val="9"/>
    <w:qFormat/>
    <w:rsid w:val="0081155D"/>
    <w:pPr>
      <w:keepNext/>
      <w:keepLines/>
      <w:spacing w:before="480" w:after="0"/>
      <w:outlineLvl w:val="0"/>
    </w:pPr>
    <w:rPr>
      <w:rFonts w:ascii="Times New Roman" w:eastAsiaTheme="majorEastAsia" w:hAnsi="Times New Roman"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81155D"/>
    <w:pPr>
      <w:keepNext/>
      <w:keepLines/>
      <w:spacing w:before="200" w:after="0"/>
      <w:outlineLvl w:val="1"/>
    </w:pPr>
    <w:rPr>
      <w:rFonts w:ascii="Times New Roman" w:eastAsiaTheme="majorEastAsia" w:hAnsi="Times New Roman" w:cstheme="majorBidi"/>
      <w:b/>
      <w:bCs/>
      <w:color w:val="365F91" w:themeColor="accent1" w:themeShade="BF"/>
      <w:sz w:val="32"/>
      <w:szCs w:val="26"/>
    </w:rPr>
  </w:style>
  <w:style w:type="paragraph" w:styleId="Heading3">
    <w:name w:val="heading 3"/>
    <w:basedOn w:val="Normal"/>
    <w:next w:val="Normal"/>
    <w:link w:val="Heading3Char"/>
    <w:uiPriority w:val="9"/>
    <w:unhideWhenUsed/>
    <w:qFormat/>
    <w:rsid w:val="00850722"/>
    <w:pPr>
      <w:keepNext/>
      <w:keepLines/>
      <w:spacing w:before="40" w:after="0"/>
      <w:outlineLvl w:val="2"/>
    </w:pPr>
    <w:rPr>
      <w:rFonts w:ascii="Times New Roman" w:eastAsiaTheme="majorEastAsia" w:hAnsi="Times New Roman" w:cstheme="majorBidi"/>
      <w:b/>
      <w:color w:val="365F91" w:themeColor="accent1" w:themeShade="BF"/>
      <w:sz w:val="28"/>
      <w:szCs w:val="24"/>
    </w:rPr>
  </w:style>
  <w:style w:type="paragraph" w:styleId="Heading4">
    <w:name w:val="heading 4"/>
    <w:basedOn w:val="Normal"/>
    <w:next w:val="Normal"/>
    <w:link w:val="Heading4Char"/>
    <w:uiPriority w:val="9"/>
    <w:semiHidden/>
    <w:unhideWhenUsed/>
    <w:qFormat/>
    <w:rsid w:val="00EE36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81155D"/>
    <w:rPr>
      <w:rFonts w:ascii="Times New Roman" w:eastAsiaTheme="majorEastAsia" w:hAnsi="Times New Roman" w:cstheme="majorBidi"/>
      <w:b/>
      <w:bCs/>
      <w:color w:val="365F91" w:themeColor="accent1" w:themeShade="BF"/>
      <w:sz w:val="36"/>
      <w:szCs w:val="28"/>
    </w:rPr>
  </w:style>
  <w:style w:type="paragraph" w:styleId="NoSpacing">
    <w:name w:val="No Spacing"/>
    <w:uiPriority w:val="1"/>
    <w:qFormat/>
    <w:rsid w:val="00087ACD"/>
    <w:pPr>
      <w:spacing w:after="0" w:line="240" w:lineRule="auto"/>
    </w:pPr>
    <w:rPr>
      <w:sz w:val="20"/>
    </w:rPr>
  </w:style>
  <w:style w:type="paragraph" w:styleId="Header">
    <w:name w:val="header"/>
    <w:basedOn w:val="Normal"/>
    <w:link w:val="HeaderChar"/>
    <w:uiPriority w:val="99"/>
    <w:unhideWhenUsed/>
    <w:rsid w:val="00A24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708"/>
  </w:style>
  <w:style w:type="paragraph" w:styleId="Footer">
    <w:name w:val="footer"/>
    <w:basedOn w:val="Normal"/>
    <w:link w:val="FooterChar"/>
    <w:uiPriority w:val="99"/>
    <w:unhideWhenUsed/>
    <w:rsid w:val="00A24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708"/>
  </w:style>
  <w:style w:type="paragraph" w:styleId="TOCHeading">
    <w:name w:val="TOC Heading"/>
    <w:basedOn w:val="Heading1"/>
    <w:next w:val="Normal"/>
    <w:uiPriority w:val="39"/>
    <w:semiHidden/>
    <w:unhideWhenUsed/>
    <w:qFormat/>
    <w:rsid w:val="001B76C2"/>
    <w:pPr>
      <w:outlineLvl w:val="9"/>
    </w:pPr>
    <w:rPr>
      <w:lang w:val="en-US"/>
    </w:rPr>
  </w:style>
  <w:style w:type="paragraph" w:styleId="BalloonText">
    <w:name w:val="Balloon Text"/>
    <w:basedOn w:val="Normal"/>
    <w:link w:val="BalloonTextChar"/>
    <w:uiPriority w:val="99"/>
    <w:semiHidden/>
    <w:unhideWhenUsed/>
    <w:rsid w:val="001B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6C2"/>
    <w:rPr>
      <w:rFonts w:ascii="Tahoma" w:hAnsi="Tahoma" w:cs="Tahoma"/>
      <w:sz w:val="16"/>
      <w:szCs w:val="16"/>
    </w:rPr>
  </w:style>
  <w:style w:type="paragraph" w:styleId="ListParagraph">
    <w:name w:val="List Paragraph"/>
    <w:basedOn w:val="Normal"/>
    <w:uiPriority w:val="34"/>
    <w:qFormat/>
    <w:rsid w:val="001B76C2"/>
    <w:pPr>
      <w:ind w:left="720"/>
      <w:contextualSpacing/>
    </w:pPr>
  </w:style>
  <w:style w:type="paragraph" w:styleId="FootnoteText">
    <w:name w:val="footnote text"/>
    <w:aliases w:val="Footnote Text Char Char Char Char Char,Footnote Text Char Char Char Char,Footnote reference,FA Fu,Footnote Text Char Char Char"/>
    <w:basedOn w:val="Normal"/>
    <w:link w:val="FootnoteTextChar"/>
    <w:unhideWhenUsed/>
    <w:rsid w:val="008643FB"/>
    <w:pPr>
      <w:spacing w:after="0" w:line="240" w:lineRule="auto"/>
    </w:pPr>
    <w:rPr>
      <w:szCs w:val="20"/>
    </w:rPr>
  </w:style>
  <w:style w:type="character" w:customStyle="1" w:styleId="FootnoteTextChar">
    <w:name w:val="Footnote Text Char"/>
    <w:aliases w:val="Footnote Text Char Char Char Char Char Char,Footnote Text Char Char Char Char Char1,Footnote reference Char,FA Fu Char,Footnote Text Char Char Char Char1"/>
    <w:basedOn w:val="DefaultParagraphFont"/>
    <w:link w:val="FootnoteText"/>
    <w:uiPriority w:val="99"/>
    <w:rsid w:val="008643FB"/>
    <w:rPr>
      <w:sz w:val="20"/>
      <w:szCs w:val="20"/>
    </w:rPr>
  </w:style>
  <w:style w:type="character" w:styleId="FootnoteReference">
    <w:name w:val="footnote reference"/>
    <w:basedOn w:val="DefaultParagraphFont"/>
    <w:semiHidden/>
    <w:unhideWhenUsed/>
    <w:rsid w:val="008643FB"/>
    <w:rPr>
      <w:vertAlign w:val="superscript"/>
    </w:rPr>
  </w:style>
  <w:style w:type="character" w:styleId="Hyperlink">
    <w:name w:val="Hyperlink"/>
    <w:basedOn w:val="DefaultParagraphFont"/>
    <w:uiPriority w:val="99"/>
    <w:unhideWhenUsed/>
    <w:rsid w:val="009868DD"/>
    <w:rPr>
      <w:color w:val="0000FF" w:themeColor="hyperlink"/>
      <w:u w:val="single"/>
    </w:rPr>
  </w:style>
  <w:style w:type="character" w:customStyle="1" w:styleId="Heading4Char">
    <w:name w:val="Heading 4 Char"/>
    <w:basedOn w:val="DefaultParagraphFont"/>
    <w:link w:val="Heading4"/>
    <w:uiPriority w:val="9"/>
    <w:semiHidden/>
    <w:rsid w:val="00EE364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81155D"/>
    <w:rPr>
      <w:rFonts w:ascii="Times New Roman" w:eastAsiaTheme="majorEastAsia" w:hAnsi="Times New Roman" w:cstheme="majorBidi"/>
      <w:b/>
      <w:bCs/>
      <w:color w:val="365F91" w:themeColor="accent1" w:themeShade="BF"/>
      <w:sz w:val="32"/>
      <w:szCs w:val="26"/>
    </w:rPr>
  </w:style>
  <w:style w:type="character" w:customStyle="1" w:styleId="apple-converted-space">
    <w:name w:val="apple-converted-space"/>
    <w:basedOn w:val="DefaultParagraphFont"/>
    <w:rsid w:val="00B7575C"/>
  </w:style>
  <w:style w:type="character" w:customStyle="1" w:styleId="addmd">
    <w:name w:val="addmd"/>
    <w:basedOn w:val="DefaultParagraphFont"/>
    <w:rsid w:val="006A132C"/>
  </w:style>
  <w:style w:type="paragraph" w:styleId="EndnoteText">
    <w:name w:val="endnote text"/>
    <w:basedOn w:val="Normal"/>
    <w:link w:val="EndnoteTextChar"/>
    <w:semiHidden/>
    <w:rsid w:val="00DF4043"/>
    <w:pPr>
      <w:spacing w:after="0" w:line="240" w:lineRule="auto"/>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semiHidden/>
    <w:rsid w:val="00DF4043"/>
    <w:rPr>
      <w:rFonts w:ascii="Times New Roman" w:eastAsia="Times New Roman" w:hAnsi="Times New Roman" w:cs="Times New Roman"/>
      <w:sz w:val="20"/>
      <w:szCs w:val="20"/>
      <w:lang w:val="en-US"/>
    </w:rPr>
  </w:style>
  <w:style w:type="paragraph" w:customStyle="1" w:styleId="CPTitle">
    <w:name w:val="CP Title"/>
    <w:basedOn w:val="Normal"/>
    <w:rsid w:val="00527853"/>
    <w:pPr>
      <w:tabs>
        <w:tab w:val="left" w:pos="720"/>
        <w:tab w:val="left" w:pos="1440"/>
        <w:tab w:val="left" w:pos="2160"/>
        <w:tab w:val="left" w:pos="2880"/>
        <w:tab w:val="left" w:pos="7200"/>
        <w:tab w:val="left" w:pos="7920"/>
        <w:tab w:val="left" w:pos="8640"/>
      </w:tabs>
      <w:spacing w:after="0" w:line="240" w:lineRule="auto"/>
      <w:jc w:val="center"/>
    </w:pPr>
    <w:rPr>
      <w:rFonts w:ascii="Times New Roman" w:eastAsia="Times New Roman" w:hAnsi="Times New Roman" w:cs="Times New Roman"/>
      <w:snapToGrid w:val="0"/>
      <w:lang w:val="pt-PT"/>
    </w:rPr>
  </w:style>
  <w:style w:type="paragraph" w:customStyle="1" w:styleId="CPClassification">
    <w:name w:val="CP Classification"/>
    <w:basedOn w:val="Normal"/>
    <w:rsid w:val="00BA3E9B"/>
    <w:pPr>
      <w:tabs>
        <w:tab w:val="center" w:pos="2160"/>
        <w:tab w:val="left" w:pos="7200"/>
      </w:tabs>
      <w:spacing w:after="0" w:line="240" w:lineRule="auto"/>
      <w:ind w:left="7200" w:right="-360"/>
      <w:jc w:val="both"/>
    </w:pPr>
    <w:rPr>
      <w:rFonts w:ascii="Times New Roman" w:eastAsia="Times New Roman" w:hAnsi="Times New Roman" w:cs="Times New Roman"/>
      <w:snapToGrid w:val="0"/>
      <w:lang w:val="pt-PT"/>
    </w:rPr>
  </w:style>
  <w:style w:type="table" w:styleId="TableGrid">
    <w:name w:val="Table Grid"/>
    <w:basedOn w:val="TableNormal"/>
    <w:uiPriority w:val="59"/>
    <w:rsid w:val="002F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6D1B"/>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3766C9"/>
    <w:rPr>
      <w:vertAlign w:val="superscript"/>
    </w:rPr>
  </w:style>
  <w:style w:type="character" w:styleId="Emphasis">
    <w:name w:val="Emphasis"/>
    <w:basedOn w:val="DefaultParagraphFont"/>
    <w:uiPriority w:val="20"/>
    <w:qFormat/>
    <w:rsid w:val="009F690B"/>
    <w:rPr>
      <w:i/>
      <w:iCs/>
    </w:rPr>
  </w:style>
  <w:style w:type="character" w:customStyle="1" w:styleId="A0">
    <w:name w:val="A0"/>
    <w:uiPriority w:val="99"/>
    <w:rsid w:val="00721279"/>
    <w:rPr>
      <w:rFonts w:cs="Berkeley"/>
      <w:b/>
      <w:bCs/>
      <w:color w:val="000000"/>
      <w:sz w:val="15"/>
      <w:szCs w:val="15"/>
    </w:rPr>
  </w:style>
  <w:style w:type="character" w:customStyle="1" w:styleId="itemtitle">
    <w:name w:val="itemtitle"/>
    <w:basedOn w:val="DefaultParagraphFont"/>
    <w:rsid w:val="00E82319"/>
  </w:style>
  <w:style w:type="character" w:styleId="Strong">
    <w:name w:val="Strong"/>
    <w:basedOn w:val="DefaultParagraphFont"/>
    <w:uiPriority w:val="22"/>
    <w:qFormat/>
    <w:rsid w:val="00012848"/>
    <w:rPr>
      <w:b/>
      <w:bCs/>
    </w:rPr>
  </w:style>
  <w:style w:type="character" w:customStyle="1" w:styleId="Heading3Char">
    <w:name w:val="Heading 3 Char"/>
    <w:basedOn w:val="DefaultParagraphFont"/>
    <w:link w:val="Heading3"/>
    <w:uiPriority w:val="9"/>
    <w:rsid w:val="00850722"/>
    <w:rPr>
      <w:rFonts w:ascii="Times New Roman" w:eastAsiaTheme="majorEastAsia" w:hAnsi="Times New Roman" w:cstheme="majorBidi"/>
      <w:b/>
      <w:color w:val="365F91" w:themeColor="accent1" w:themeShade="BF"/>
      <w:sz w:val="28"/>
      <w:szCs w:val="24"/>
    </w:rPr>
  </w:style>
  <w:style w:type="character" w:styleId="HTMLCite">
    <w:name w:val="HTML Cite"/>
    <w:basedOn w:val="DefaultParagraphFont"/>
    <w:uiPriority w:val="99"/>
    <w:semiHidden/>
    <w:unhideWhenUsed/>
    <w:rsid w:val="00C90037"/>
    <w:rPr>
      <w:i/>
      <w:iCs/>
    </w:rPr>
  </w:style>
  <w:style w:type="character" w:customStyle="1" w:styleId="a">
    <w:name w:val="a"/>
    <w:basedOn w:val="DefaultParagraphFont"/>
    <w:rsid w:val="00956820"/>
  </w:style>
  <w:style w:type="character" w:customStyle="1" w:styleId="l6">
    <w:name w:val="l6"/>
    <w:basedOn w:val="DefaultParagraphFont"/>
    <w:rsid w:val="00956820"/>
  </w:style>
  <w:style w:type="character" w:customStyle="1" w:styleId="l8">
    <w:name w:val="l8"/>
    <w:basedOn w:val="DefaultParagraphFont"/>
    <w:rsid w:val="00956820"/>
  </w:style>
  <w:style w:type="character" w:customStyle="1" w:styleId="l7">
    <w:name w:val="l7"/>
    <w:basedOn w:val="DefaultParagraphFont"/>
    <w:rsid w:val="00956820"/>
  </w:style>
  <w:style w:type="paragraph" w:customStyle="1" w:styleId="HChG">
    <w:name w:val="_ H _Ch_G"/>
    <w:basedOn w:val="Normal"/>
    <w:next w:val="Normal"/>
    <w:rsid w:val="003F2016"/>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eastAsia="en-US"/>
    </w:rPr>
  </w:style>
  <w:style w:type="paragraph" w:customStyle="1" w:styleId="H1G">
    <w:name w:val="_ H_1_G"/>
    <w:basedOn w:val="Normal"/>
    <w:next w:val="Normal"/>
    <w:rsid w:val="003F2016"/>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eastAsia="en-US"/>
    </w:rPr>
  </w:style>
  <w:style w:type="paragraph" w:customStyle="1" w:styleId="HMG">
    <w:name w:val="_ H __M_G"/>
    <w:basedOn w:val="Normal"/>
    <w:next w:val="Normal"/>
    <w:rsid w:val="001B1686"/>
    <w:pPr>
      <w:keepNext/>
      <w:keepLines/>
      <w:tabs>
        <w:tab w:val="right" w:pos="851"/>
      </w:tabs>
      <w:suppressAutoHyphens/>
      <w:spacing w:before="240" w:after="240" w:line="360" w:lineRule="exact"/>
      <w:ind w:left="1134" w:right="1134" w:hanging="1134"/>
    </w:pPr>
    <w:rPr>
      <w:rFonts w:ascii="Times New Roman" w:eastAsia="Times New Roman" w:hAnsi="Times New Roman" w:cs="Times New Roman"/>
      <w:b/>
      <w:sz w:val="34"/>
      <w:szCs w:val="20"/>
      <w:lang w:val="en-GB" w:eastAsia="en-US"/>
    </w:rPr>
  </w:style>
  <w:style w:type="paragraph" w:styleId="Quote">
    <w:name w:val="Quote"/>
    <w:basedOn w:val="Normal"/>
    <w:next w:val="Normal"/>
    <w:link w:val="QuoteChar"/>
    <w:uiPriority w:val="29"/>
    <w:qFormat/>
    <w:rsid w:val="006353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3FE"/>
    <w:rPr>
      <w:i/>
      <w:iCs/>
      <w:color w:val="404040" w:themeColor="text1" w:themeTint="BF"/>
    </w:rPr>
  </w:style>
  <w:style w:type="paragraph" w:styleId="ListBullet">
    <w:name w:val="List Bullet"/>
    <w:basedOn w:val="Normal"/>
    <w:qFormat/>
    <w:rsid w:val="00AD44E3"/>
    <w:pPr>
      <w:numPr>
        <w:numId w:val="4"/>
      </w:numPr>
      <w:spacing w:before="120" w:after="120" w:line="240" w:lineRule="auto"/>
    </w:pPr>
    <w:rPr>
      <w:rFonts w:ascii="Arial" w:eastAsia="Times New Roman" w:hAnsi="Arial" w:cs="Times New Roman"/>
      <w:lang w:val="en-AU" w:eastAsia="en-AU"/>
    </w:rPr>
  </w:style>
  <w:style w:type="paragraph" w:customStyle="1" w:styleId="Default">
    <w:name w:val="Default"/>
    <w:rsid w:val="00B245DF"/>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086561"/>
    <w:pPr>
      <w:spacing w:after="100"/>
    </w:pPr>
  </w:style>
  <w:style w:type="paragraph" w:styleId="TOC2">
    <w:name w:val="toc 2"/>
    <w:basedOn w:val="Normal"/>
    <w:next w:val="Normal"/>
    <w:autoRedefine/>
    <w:uiPriority w:val="39"/>
    <w:unhideWhenUsed/>
    <w:rsid w:val="003D1606"/>
    <w:pPr>
      <w:spacing w:after="100"/>
      <w:ind w:left="220"/>
    </w:pPr>
  </w:style>
  <w:style w:type="paragraph" w:styleId="TOC3">
    <w:name w:val="toc 3"/>
    <w:basedOn w:val="Normal"/>
    <w:next w:val="Normal"/>
    <w:autoRedefine/>
    <w:uiPriority w:val="39"/>
    <w:unhideWhenUsed/>
    <w:rsid w:val="003D1606"/>
    <w:pPr>
      <w:spacing w:after="100"/>
      <w:ind w:left="440"/>
    </w:pPr>
  </w:style>
  <w:style w:type="paragraph" w:styleId="TOAHeading">
    <w:name w:val="toa heading"/>
    <w:basedOn w:val="Normal"/>
    <w:next w:val="Normal"/>
    <w:uiPriority w:val="99"/>
    <w:semiHidden/>
    <w:unhideWhenUsed/>
    <w:rsid w:val="00E0181B"/>
    <w:pPr>
      <w:spacing w:before="120"/>
    </w:pPr>
    <w:rPr>
      <w:rFonts w:eastAsiaTheme="majorEastAsia" w:cstheme="majorBidi"/>
      <w:bCs/>
      <w:szCs w:val="24"/>
    </w:rPr>
  </w:style>
  <w:style w:type="paragraph" w:styleId="TableofAuthorities">
    <w:name w:val="table of authorities"/>
    <w:basedOn w:val="Normal"/>
    <w:next w:val="Normal"/>
    <w:uiPriority w:val="99"/>
    <w:semiHidden/>
    <w:unhideWhenUsed/>
    <w:rsid w:val="00035890"/>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7830506">
      <w:bodyDiv w:val="1"/>
      <w:marLeft w:val="0"/>
      <w:marRight w:val="0"/>
      <w:marTop w:val="0"/>
      <w:marBottom w:val="0"/>
      <w:divBdr>
        <w:top w:val="none" w:sz="0" w:space="0" w:color="auto"/>
        <w:left w:val="none" w:sz="0" w:space="0" w:color="auto"/>
        <w:bottom w:val="none" w:sz="0" w:space="0" w:color="auto"/>
        <w:right w:val="none" w:sz="0" w:space="0" w:color="auto"/>
      </w:divBdr>
    </w:div>
    <w:div w:id="30229735">
      <w:bodyDiv w:val="1"/>
      <w:marLeft w:val="0"/>
      <w:marRight w:val="0"/>
      <w:marTop w:val="0"/>
      <w:marBottom w:val="0"/>
      <w:divBdr>
        <w:top w:val="none" w:sz="0" w:space="0" w:color="auto"/>
        <w:left w:val="none" w:sz="0" w:space="0" w:color="auto"/>
        <w:bottom w:val="none" w:sz="0" w:space="0" w:color="auto"/>
        <w:right w:val="none" w:sz="0" w:space="0" w:color="auto"/>
      </w:divBdr>
    </w:div>
    <w:div w:id="56057114">
      <w:bodyDiv w:val="1"/>
      <w:marLeft w:val="0"/>
      <w:marRight w:val="0"/>
      <w:marTop w:val="0"/>
      <w:marBottom w:val="0"/>
      <w:divBdr>
        <w:top w:val="none" w:sz="0" w:space="0" w:color="auto"/>
        <w:left w:val="none" w:sz="0" w:space="0" w:color="auto"/>
        <w:bottom w:val="none" w:sz="0" w:space="0" w:color="auto"/>
        <w:right w:val="none" w:sz="0" w:space="0" w:color="auto"/>
      </w:divBdr>
    </w:div>
    <w:div w:id="303241328">
      <w:bodyDiv w:val="1"/>
      <w:marLeft w:val="0"/>
      <w:marRight w:val="0"/>
      <w:marTop w:val="0"/>
      <w:marBottom w:val="0"/>
      <w:divBdr>
        <w:top w:val="none" w:sz="0" w:space="0" w:color="auto"/>
        <w:left w:val="none" w:sz="0" w:space="0" w:color="auto"/>
        <w:bottom w:val="none" w:sz="0" w:space="0" w:color="auto"/>
        <w:right w:val="none" w:sz="0" w:space="0" w:color="auto"/>
      </w:divBdr>
    </w:div>
    <w:div w:id="323360149">
      <w:bodyDiv w:val="1"/>
      <w:marLeft w:val="0"/>
      <w:marRight w:val="0"/>
      <w:marTop w:val="0"/>
      <w:marBottom w:val="0"/>
      <w:divBdr>
        <w:top w:val="none" w:sz="0" w:space="0" w:color="auto"/>
        <w:left w:val="none" w:sz="0" w:space="0" w:color="auto"/>
        <w:bottom w:val="none" w:sz="0" w:space="0" w:color="auto"/>
        <w:right w:val="none" w:sz="0" w:space="0" w:color="auto"/>
      </w:divBdr>
    </w:div>
    <w:div w:id="329723996">
      <w:bodyDiv w:val="1"/>
      <w:marLeft w:val="0"/>
      <w:marRight w:val="0"/>
      <w:marTop w:val="0"/>
      <w:marBottom w:val="0"/>
      <w:divBdr>
        <w:top w:val="none" w:sz="0" w:space="0" w:color="auto"/>
        <w:left w:val="none" w:sz="0" w:space="0" w:color="auto"/>
        <w:bottom w:val="none" w:sz="0" w:space="0" w:color="auto"/>
        <w:right w:val="none" w:sz="0" w:space="0" w:color="auto"/>
      </w:divBdr>
    </w:div>
    <w:div w:id="342830321">
      <w:bodyDiv w:val="1"/>
      <w:marLeft w:val="0"/>
      <w:marRight w:val="0"/>
      <w:marTop w:val="0"/>
      <w:marBottom w:val="0"/>
      <w:divBdr>
        <w:top w:val="none" w:sz="0" w:space="0" w:color="auto"/>
        <w:left w:val="none" w:sz="0" w:space="0" w:color="auto"/>
        <w:bottom w:val="none" w:sz="0" w:space="0" w:color="auto"/>
        <w:right w:val="none" w:sz="0" w:space="0" w:color="auto"/>
      </w:divBdr>
    </w:div>
    <w:div w:id="456878936">
      <w:bodyDiv w:val="1"/>
      <w:marLeft w:val="0"/>
      <w:marRight w:val="0"/>
      <w:marTop w:val="0"/>
      <w:marBottom w:val="0"/>
      <w:divBdr>
        <w:top w:val="none" w:sz="0" w:space="0" w:color="auto"/>
        <w:left w:val="none" w:sz="0" w:space="0" w:color="auto"/>
        <w:bottom w:val="none" w:sz="0" w:space="0" w:color="auto"/>
        <w:right w:val="none" w:sz="0" w:space="0" w:color="auto"/>
      </w:divBdr>
    </w:div>
    <w:div w:id="498933510">
      <w:bodyDiv w:val="1"/>
      <w:marLeft w:val="0"/>
      <w:marRight w:val="0"/>
      <w:marTop w:val="0"/>
      <w:marBottom w:val="0"/>
      <w:divBdr>
        <w:top w:val="none" w:sz="0" w:space="0" w:color="auto"/>
        <w:left w:val="none" w:sz="0" w:space="0" w:color="auto"/>
        <w:bottom w:val="none" w:sz="0" w:space="0" w:color="auto"/>
        <w:right w:val="none" w:sz="0" w:space="0" w:color="auto"/>
      </w:divBdr>
    </w:div>
    <w:div w:id="508563594">
      <w:bodyDiv w:val="1"/>
      <w:marLeft w:val="0"/>
      <w:marRight w:val="0"/>
      <w:marTop w:val="0"/>
      <w:marBottom w:val="0"/>
      <w:divBdr>
        <w:top w:val="none" w:sz="0" w:space="0" w:color="auto"/>
        <w:left w:val="none" w:sz="0" w:space="0" w:color="auto"/>
        <w:bottom w:val="none" w:sz="0" w:space="0" w:color="auto"/>
        <w:right w:val="none" w:sz="0" w:space="0" w:color="auto"/>
      </w:divBdr>
    </w:div>
    <w:div w:id="538199235">
      <w:bodyDiv w:val="1"/>
      <w:marLeft w:val="0"/>
      <w:marRight w:val="0"/>
      <w:marTop w:val="0"/>
      <w:marBottom w:val="0"/>
      <w:divBdr>
        <w:top w:val="none" w:sz="0" w:space="0" w:color="auto"/>
        <w:left w:val="none" w:sz="0" w:space="0" w:color="auto"/>
        <w:bottom w:val="none" w:sz="0" w:space="0" w:color="auto"/>
        <w:right w:val="none" w:sz="0" w:space="0" w:color="auto"/>
      </w:divBdr>
      <w:divsChild>
        <w:div w:id="2080327058">
          <w:marLeft w:val="0"/>
          <w:marRight w:val="0"/>
          <w:marTop w:val="0"/>
          <w:marBottom w:val="0"/>
          <w:divBdr>
            <w:top w:val="none" w:sz="0" w:space="0" w:color="auto"/>
            <w:left w:val="none" w:sz="0" w:space="0" w:color="auto"/>
            <w:bottom w:val="none" w:sz="0" w:space="0" w:color="auto"/>
            <w:right w:val="none" w:sz="0" w:space="0" w:color="auto"/>
          </w:divBdr>
          <w:divsChild>
            <w:div w:id="2025521906">
              <w:marLeft w:val="0"/>
              <w:marRight w:val="0"/>
              <w:marTop w:val="0"/>
              <w:marBottom w:val="0"/>
              <w:divBdr>
                <w:top w:val="none" w:sz="0" w:space="0" w:color="auto"/>
                <w:left w:val="none" w:sz="0" w:space="0" w:color="auto"/>
                <w:bottom w:val="none" w:sz="0" w:space="0" w:color="auto"/>
                <w:right w:val="none" w:sz="0" w:space="0" w:color="auto"/>
              </w:divBdr>
              <w:divsChild>
                <w:div w:id="18035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47836">
      <w:bodyDiv w:val="1"/>
      <w:marLeft w:val="0"/>
      <w:marRight w:val="0"/>
      <w:marTop w:val="0"/>
      <w:marBottom w:val="0"/>
      <w:divBdr>
        <w:top w:val="none" w:sz="0" w:space="0" w:color="auto"/>
        <w:left w:val="none" w:sz="0" w:space="0" w:color="auto"/>
        <w:bottom w:val="none" w:sz="0" w:space="0" w:color="auto"/>
        <w:right w:val="none" w:sz="0" w:space="0" w:color="auto"/>
      </w:divBdr>
    </w:div>
    <w:div w:id="547956743">
      <w:bodyDiv w:val="1"/>
      <w:marLeft w:val="0"/>
      <w:marRight w:val="0"/>
      <w:marTop w:val="0"/>
      <w:marBottom w:val="0"/>
      <w:divBdr>
        <w:top w:val="none" w:sz="0" w:space="0" w:color="auto"/>
        <w:left w:val="none" w:sz="0" w:space="0" w:color="auto"/>
        <w:bottom w:val="none" w:sz="0" w:space="0" w:color="auto"/>
        <w:right w:val="none" w:sz="0" w:space="0" w:color="auto"/>
      </w:divBdr>
    </w:div>
    <w:div w:id="620380582">
      <w:bodyDiv w:val="1"/>
      <w:marLeft w:val="0"/>
      <w:marRight w:val="0"/>
      <w:marTop w:val="0"/>
      <w:marBottom w:val="0"/>
      <w:divBdr>
        <w:top w:val="none" w:sz="0" w:space="0" w:color="auto"/>
        <w:left w:val="none" w:sz="0" w:space="0" w:color="auto"/>
        <w:bottom w:val="none" w:sz="0" w:space="0" w:color="auto"/>
        <w:right w:val="none" w:sz="0" w:space="0" w:color="auto"/>
      </w:divBdr>
    </w:div>
    <w:div w:id="625159848">
      <w:bodyDiv w:val="1"/>
      <w:marLeft w:val="0"/>
      <w:marRight w:val="0"/>
      <w:marTop w:val="0"/>
      <w:marBottom w:val="0"/>
      <w:divBdr>
        <w:top w:val="none" w:sz="0" w:space="0" w:color="auto"/>
        <w:left w:val="none" w:sz="0" w:space="0" w:color="auto"/>
        <w:bottom w:val="none" w:sz="0" w:space="0" w:color="auto"/>
        <w:right w:val="none" w:sz="0" w:space="0" w:color="auto"/>
      </w:divBdr>
    </w:div>
    <w:div w:id="652371435">
      <w:bodyDiv w:val="1"/>
      <w:marLeft w:val="0"/>
      <w:marRight w:val="0"/>
      <w:marTop w:val="0"/>
      <w:marBottom w:val="0"/>
      <w:divBdr>
        <w:top w:val="none" w:sz="0" w:space="0" w:color="auto"/>
        <w:left w:val="none" w:sz="0" w:space="0" w:color="auto"/>
        <w:bottom w:val="none" w:sz="0" w:space="0" w:color="auto"/>
        <w:right w:val="none" w:sz="0" w:space="0" w:color="auto"/>
      </w:divBdr>
      <w:divsChild>
        <w:div w:id="11613000">
          <w:marLeft w:val="0"/>
          <w:marRight w:val="0"/>
          <w:marTop w:val="0"/>
          <w:marBottom w:val="0"/>
          <w:divBdr>
            <w:top w:val="none" w:sz="0" w:space="0" w:color="auto"/>
            <w:left w:val="none" w:sz="0" w:space="0" w:color="auto"/>
            <w:bottom w:val="none" w:sz="0" w:space="0" w:color="auto"/>
            <w:right w:val="none" w:sz="0" w:space="0" w:color="auto"/>
          </w:divBdr>
        </w:div>
        <w:div w:id="1850947786">
          <w:marLeft w:val="0"/>
          <w:marRight w:val="0"/>
          <w:marTop w:val="0"/>
          <w:marBottom w:val="0"/>
          <w:divBdr>
            <w:top w:val="none" w:sz="0" w:space="0" w:color="auto"/>
            <w:left w:val="none" w:sz="0" w:space="0" w:color="auto"/>
            <w:bottom w:val="none" w:sz="0" w:space="0" w:color="auto"/>
            <w:right w:val="none" w:sz="0" w:space="0" w:color="auto"/>
          </w:divBdr>
        </w:div>
      </w:divsChild>
    </w:div>
    <w:div w:id="684986596">
      <w:bodyDiv w:val="1"/>
      <w:marLeft w:val="0"/>
      <w:marRight w:val="0"/>
      <w:marTop w:val="0"/>
      <w:marBottom w:val="0"/>
      <w:divBdr>
        <w:top w:val="none" w:sz="0" w:space="0" w:color="auto"/>
        <w:left w:val="none" w:sz="0" w:space="0" w:color="auto"/>
        <w:bottom w:val="none" w:sz="0" w:space="0" w:color="auto"/>
        <w:right w:val="none" w:sz="0" w:space="0" w:color="auto"/>
      </w:divBdr>
    </w:div>
    <w:div w:id="775754126">
      <w:bodyDiv w:val="1"/>
      <w:marLeft w:val="0"/>
      <w:marRight w:val="0"/>
      <w:marTop w:val="0"/>
      <w:marBottom w:val="0"/>
      <w:divBdr>
        <w:top w:val="none" w:sz="0" w:space="0" w:color="auto"/>
        <w:left w:val="none" w:sz="0" w:space="0" w:color="auto"/>
        <w:bottom w:val="none" w:sz="0" w:space="0" w:color="auto"/>
        <w:right w:val="none" w:sz="0" w:space="0" w:color="auto"/>
      </w:divBdr>
    </w:div>
    <w:div w:id="789474843">
      <w:bodyDiv w:val="1"/>
      <w:marLeft w:val="0"/>
      <w:marRight w:val="0"/>
      <w:marTop w:val="0"/>
      <w:marBottom w:val="0"/>
      <w:divBdr>
        <w:top w:val="none" w:sz="0" w:space="0" w:color="auto"/>
        <w:left w:val="none" w:sz="0" w:space="0" w:color="auto"/>
        <w:bottom w:val="none" w:sz="0" w:space="0" w:color="auto"/>
        <w:right w:val="none" w:sz="0" w:space="0" w:color="auto"/>
      </w:divBdr>
      <w:divsChild>
        <w:div w:id="6831243">
          <w:marLeft w:val="0"/>
          <w:marRight w:val="0"/>
          <w:marTop w:val="0"/>
          <w:marBottom w:val="0"/>
          <w:divBdr>
            <w:top w:val="none" w:sz="0" w:space="0" w:color="auto"/>
            <w:left w:val="none" w:sz="0" w:space="0" w:color="auto"/>
            <w:bottom w:val="none" w:sz="0" w:space="0" w:color="auto"/>
            <w:right w:val="none" w:sz="0" w:space="0" w:color="auto"/>
          </w:divBdr>
          <w:divsChild>
            <w:div w:id="1249191525">
              <w:marLeft w:val="0"/>
              <w:marRight w:val="0"/>
              <w:marTop w:val="0"/>
              <w:marBottom w:val="0"/>
              <w:divBdr>
                <w:top w:val="none" w:sz="0" w:space="0" w:color="auto"/>
                <w:left w:val="none" w:sz="0" w:space="0" w:color="auto"/>
                <w:bottom w:val="none" w:sz="0" w:space="0" w:color="auto"/>
                <w:right w:val="none" w:sz="0" w:space="0" w:color="auto"/>
              </w:divBdr>
              <w:divsChild>
                <w:div w:id="1794589512">
                  <w:marLeft w:val="0"/>
                  <w:marRight w:val="0"/>
                  <w:marTop w:val="0"/>
                  <w:marBottom w:val="0"/>
                  <w:divBdr>
                    <w:top w:val="none" w:sz="0" w:space="0" w:color="auto"/>
                    <w:left w:val="none" w:sz="0" w:space="0" w:color="auto"/>
                    <w:bottom w:val="none" w:sz="0" w:space="0" w:color="auto"/>
                    <w:right w:val="none" w:sz="0" w:space="0" w:color="auto"/>
                  </w:divBdr>
                  <w:divsChild>
                    <w:div w:id="635375366">
                      <w:marLeft w:val="0"/>
                      <w:marRight w:val="0"/>
                      <w:marTop w:val="0"/>
                      <w:marBottom w:val="0"/>
                      <w:divBdr>
                        <w:top w:val="none" w:sz="0" w:space="0" w:color="auto"/>
                        <w:left w:val="none" w:sz="0" w:space="0" w:color="auto"/>
                        <w:bottom w:val="none" w:sz="0" w:space="0" w:color="auto"/>
                        <w:right w:val="none" w:sz="0" w:space="0" w:color="auto"/>
                      </w:divBdr>
                      <w:divsChild>
                        <w:div w:id="16954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192398">
      <w:bodyDiv w:val="1"/>
      <w:marLeft w:val="0"/>
      <w:marRight w:val="0"/>
      <w:marTop w:val="0"/>
      <w:marBottom w:val="0"/>
      <w:divBdr>
        <w:top w:val="none" w:sz="0" w:space="0" w:color="auto"/>
        <w:left w:val="none" w:sz="0" w:space="0" w:color="auto"/>
        <w:bottom w:val="none" w:sz="0" w:space="0" w:color="auto"/>
        <w:right w:val="none" w:sz="0" w:space="0" w:color="auto"/>
      </w:divBdr>
    </w:div>
    <w:div w:id="901410844">
      <w:bodyDiv w:val="1"/>
      <w:marLeft w:val="0"/>
      <w:marRight w:val="0"/>
      <w:marTop w:val="0"/>
      <w:marBottom w:val="0"/>
      <w:divBdr>
        <w:top w:val="none" w:sz="0" w:space="0" w:color="auto"/>
        <w:left w:val="none" w:sz="0" w:space="0" w:color="auto"/>
        <w:bottom w:val="none" w:sz="0" w:space="0" w:color="auto"/>
        <w:right w:val="none" w:sz="0" w:space="0" w:color="auto"/>
      </w:divBdr>
    </w:div>
    <w:div w:id="934289634">
      <w:bodyDiv w:val="1"/>
      <w:marLeft w:val="0"/>
      <w:marRight w:val="0"/>
      <w:marTop w:val="0"/>
      <w:marBottom w:val="0"/>
      <w:divBdr>
        <w:top w:val="none" w:sz="0" w:space="0" w:color="auto"/>
        <w:left w:val="none" w:sz="0" w:space="0" w:color="auto"/>
        <w:bottom w:val="none" w:sz="0" w:space="0" w:color="auto"/>
        <w:right w:val="none" w:sz="0" w:space="0" w:color="auto"/>
      </w:divBdr>
      <w:divsChild>
        <w:div w:id="1947737486">
          <w:marLeft w:val="0"/>
          <w:marRight w:val="180"/>
          <w:marTop w:val="0"/>
          <w:marBottom w:val="0"/>
          <w:divBdr>
            <w:top w:val="none" w:sz="0" w:space="0" w:color="auto"/>
            <w:left w:val="none" w:sz="0" w:space="0" w:color="auto"/>
            <w:bottom w:val="none" w:sz="0" w:space="0" w:color="auto"/>
            <w:right w:val="none" w:sz="0" w:space="0" w:color="auto"/>
          </w:divBdr>
        </w:div>
        <w:div w:id="1842626412">
          <w:marLeft w:val="0"/>
          <w:marRight w:val="0"/>
          <w:marTop w:val="0"/>
          <w:marBottom w:val="30"/>
          <w:divBdr>
            <w:top w:val="none" w:sz="0" w:space="0" w:color="auto"/>
            <w:left w:val="none" w:sz="0" w:space="0" w:color="auto"/>
            <w:bottom w:val="none" w:sz="0" w:space="0" w:color="auto"/>
            <w:right w:val="none" w:sz="0" w:space="0" w:color="auto"/>
          </w:divBdr>
          <w:divsChild>
            <w:div w:id="177513357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977608914">
      <w:bodyDiv w:val="1"/>
      <w:marLeft w:val="0"/>
      <w:marRight w:val="0"/>
      <w:marTop w:val="0"/>
      <w:marBottom w:val="0"/>
      <w:divBdr>
        <w:top w:val="none" w:sz="0" w:space="0" w:color="auto"/>
        <w:left w:val="none" w:sz="0" w:space="0" w:color="auto"/>
        <w:bottom w:val="none" w:sz="0" w:space="0" w:color="auto"/>
        <w:right w:val="none" w:sz="0" w:space="0" w:color="auto"/>
      </w:divBdr>
    </w:div>
    <w:div w:id="1021973822">
      <w:bodyDiv w:val="1"/>
      <w:marLeft w:val="0"/>
      <w:marRight w:val="0"/>
      <w:marTop w:val="0"/>
      <w:marBottom w:val="0"/>
      <w:divBdr>
        <w:top w:val="none" w:sz="0" w:space="0" w:color="auto"/>
        <w:left w:val="none" w:sz="0" w:space="0" w:color="auto"/>
        <w:bottom w:val="none" w:sz="0" w:space="0" w:color="auto"/>
        <w:right w:val="none" w:sz="0" w:space="0" w:color="auto"/>
      </w:divBdr>
    </w:div>
    <w:div w:id="1056394710">
      <w:bodyDiv w:val="1"/>
      <w:marLeft w:val="0"/>
      <w:marRight w:val="0"/>
      <w:marTop w:val="0"/>
      <w:marBottom w:val="0"/>
      <w:divBdr>
        <w:top w:val="none" w:sz="0" w:space="0" w:color="auto"/>
        <w:left w:val="none" w:sz="0" w:space="0" w:color="auto"/>
        <w:bottom w:val="none" w:sz="0" w:space="0" w:color="auto"/>
        <w:right w:val="none" w:sz="0" w:space="0" w:color="auto"/>
      </w:divBdr>
    </w:div>
    <w:div w:id="1196887665">
      <w:bodyDiv w:val="1"/>
      <w:marLeft w:val="0"/>
      <w:marRight w:val="0"/>
      <w:marTop w:val="0"/>
      <w:marBottom w:val="0"/>
      <w:divBdr>
        <w:top w:val="none" w:sz="0" w:space="0" w:color="auto"/>
        <w:left w:val="none" w:sz="0" w:space="0" w:color="auto"/>
        <w:bottom w:val="none" w:sz="0" w:space="0" w:color="auto"/>
        <w:right w:val="none" w:sz="0" w:space="0" w:color="auto"/>
      </w:divBdr>
    </w:div>
    <w:div w:id="1277061578">
      <w:bodyDiv w:val="1"/>
      <w:marLeft w:val="0"/>
      <w:marRight w:val="0"/>
      <w:marTop w:val="0"/>
      <w:marBottom w:val="0"/>
      <w:divBdr>
        <w:top w:val="none" w:sz="0" w:space="0" w:color="auto"/>
        <w:left w:val="none" w:sz="0" w:space="0" w:color="auto"/>
        <w:bottom w:val="none" w:sz="0" w:space="0" w:color="auto"/>
        <w:right w:val="none" w:sz="0" w:space="0" w:color="auto"/>
      </w:divBdr>
    </w:div>
    <w:div w:id="1435511581">
      <w:bodyDiv w:val="1"/>
      <w:marLeft w:val="0"/>
      <w:marRight w:val="0"/>
      <w:marTop w:val="0"/>
      <w:marBottom w:val="0"/>
      <w:divBdr>
        <w:top w:val="none" w:sz="0" w:space="0" w:color="auto"/>
        <w:left w:val="none" w:sz="0" w:space="0" w:color="auto"/>
        <w:bottom w:val="none" w:sz="0" w:space="0" w:color="auto"/>
        <w:right w:val="none" w:sz="0" w:space="0" w:color="auto"/>
      </w:divBdr>
    </w:div>
    <w:div w:id="1451709227">
      <w:bodyDiv w:val="1"/>
      <w:marLeft w:val="0"/>
      <w:marRight w:val="0"/>
      <w:marTop w:val="0"/>
      <w:marBottom w:val="0"/>
      <w:divBdr>
        <w:top w:val="none" w:sz="0" w:space="0" w:color="auto"/>
        <w:left w:val="none" w:sz="0" w:space="0" w:color="auto"/>
        <w:bottom w:val="none" w:sz="0" w:space="0" w:color="auto"/>
        <w:right w:val="none" w:sz="0" w:space="0" w:color="auto"/>
      </w:divBdr>
    </w:div>
    <w:div w:id="1494568932">
      <w:bodyDiv w:val="1"/>
      <w:marLeft w:val="0"/>
      <w:marRight w:val="0"/>
      <w:marTop w:val="0"/>
      <w:marBottom w:val="0"/>
      <w:divBdr>
        <w:top w:val="none" w:sz="0" w:space="0" w:color="auto"/>
        <w:left w:val="none" w:sz="0" w:space="0" w:color="auto"/>
        <w:bottom w:val="none" w:sz="0" w:space="0" w:color="auto"/>
        <w:right w:val="none" w:sz="0" w:space="0" w:color="auto"/>
      </w:divBdr>
    </w:div>
    <w:div w:id="1528522227">
      <w:bodyDiv w:val="1"/>
      <w:marLeft w:val="0"/>
      <w:marRight w:val="0"/>
      <w:marTop w:val="0"/>
      <w:marBottom w:val="0"/>
      <w:divBdr>
        <w:top w:val="none" w:sz="0" w:space="0" w:color="auto"/>
        <w:left w:val="none" w:sz="0" w:space="0" w:color="auto"/>
        <w:bottom w:val="none" w:sz="0" w:space="0" w:color="auto"/>
        <w:right w:val="none" w:sz="0" w:space="0" w:color="auto"/>
      </w:divBdr>
      <w:divsChild>
        <w:div w:id="885071393">
          <w:marLeft w:val="0"/>
          <w:marRight w:val="0"/>
          <w:marTop w:val="0"/>
          <w:marBottom w:val="0"/>
          <w:divBdr>
            <w:top w:val="none" w:sz="0" w:space="0" w:color="auto"/>
            <w:left w:val="none" w:sz="0" w:space="0" w:color="auto"/>
            <w:bottom w:val="none" w:sz="0" w:space="0" w:color="auto"/>
            <w:right w:val="none" w:sz="0" w:space="0" w:color="auto"/>
          </w:divBdr>
          <w:divsChild>
            <w:div w:id="374234296">
              <w:marLeft w:val="0"/>
              <w:marRight w:val="0"/>
              <w:marTop w:val="0"/>
              <w:marBottom w:val="0"/>
              <w:divBdr>
                <w:top w:val="none" w:sz="0" w:space="0" w:color="auto"/>
                <w:left w:val="none" w:sz="0" w:space="0" w:color="auto"/>
                <w:bottom w:val="none" w:sz="0" w:space="0" w:color="auto"/>
                <w:right w:val="none" w:sz="0" w:space="0" w:color="auto"/>
              </w:divBdr>
              <w:divsChild>
                <w:div w:id="1280840956">
                  <w:marLeft w:val="0"/>
                  <w:marRight w:val="0"/>
                  <w:marTop w:val="0"/>
                  <w:marBottom w:val="0"/>
                  <w:divBdr>
                    <w:top w:val="none" w:sz="0" w:space="0" w:color="auto"/>
                    <w:left w:val="none" w:sz="0" w:space="0" w:color="auto"/>
                    <w:bottom w:val="none" w:sz="0" w:space="0" w:color="auto"/>
                    <w:right w:val="none" w:sz="0" w:space="0" w:color="auto"/>
                  </w:divBdr>
                  <w:divsChild>
                    <w:div w:id="19249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17021">
      <w:bodyDiv w:val="1"/>
      <w:marLeft w:val="0"/>
      <w:marRight w:val="0"/>
      <w:marTop w:val="0"/>
      <w:marBottom w:val="0"/>
      <w:divBdr>
        <w:top w:val="none" w:sz="0" w:space="0" w:color="auto"/>
        <w:left w:val="none" w:sz="0" w:space="0" w:color="auto"/>
        <w:bottom w:val="none" w:sz="0" w:space="0" w:color="auto"/>
        <w:right w:val="none" w:sz="0" w:space="0" w:color="auto"/>
      </w:divBdr>
    </w:div>
    <w:div w:id="1573278293">
      <w:bodyDiv w:val="1"/>
      <w:marLeft w:val="0"/>
      <w:marRight w:val="0"/>
      <w:marTop w:val="0"/>
      <w:marBottom w:val="0"/>
      <w:divBdr>
        <w:top w:val="none" w:sz="0" w:space="0" w:color="auto"/>
        <w:left w:val="none" w:sz="0" w:space="0" w:color="auto"/>
        <w:bottom w:val="none" w:sz="0" w:space="0" w:color="auto"/>
        <w:right w:val="none" w:sz="0" w:space="0" w:color="auto"/>
      </w:divBdr>
    </w:div>
    <w:div w:id="1622493945">
      <w:bodyDiv w:val="1"/>
      <w:marLeft w:val="0"/>
      <w:marRight w:val="0"/>
      <w:marTop w:val="0"/>
      <w:marBottom w:val="0"/>
      <w:divBdr>
        <w:top w:val="none" w:sz="0" w:space="0" w:color="auto"/>
        <w:left w:val="none" w:sz="0" w:space="0" w:color="auto"/>
        <w:bottom w:val="none" w:sz="0" w:space="0" w:color="auto"/>
        <w:right w:val="none" w:sz="0" w:space="0" w:color="auto"/>
      </w:divBdr>
    </w:div>
    <w:div w:id="1654017411">
      <w:bodyDiv w:val="1"/>
      <w:marLeft w:val="0"/>
      <w:marRight w:val="0"/>
      <w:marTop w:val="0"/>
      <w:marBottom w:val="0"/>
      <w:divBdr>
        <w:top w:val="none" w:sz="0" w:space="0" w:color="auto"/>
        <w:left w:val="none" w:sz="0" w:space="0" w:color="auto"/>
        <w:bottom w:val="none" w:sz="0" w:space="0" w:color="auto"/>
        <w:right w:val="none" w:sz="0" w:space="0" w:color="auto"/>
      </w:divBdr>
    </w:div>
    <w:div w:id="1669098211">
      <w:bodyDiv w:val="1"/>
      <w:marLeft w:val="0"/>
      <w:marRight w:val="0"/>
      <w:marTop w:val="0"/>
      <w:marBottom w:val="0"/>
      <w:divBdr>
        <w:top w:val="none" w:sz="0" w:space="0" w:color="auto"/>
        <w:left w:val="none" w:sz="0" w:space="0" w:color="auto"/>
        <w:bottom w:val="none" w:sz="0" w:space="0" w:color="auto"/>
        <w:right w:val="none" w:sz="0" w:space="0" w:color="auto"/>
      </w:divBdr>
    </w:div>
    <w:div w:id="1687562161">
      <w:bodyDiv w:val="1"/>
      <w:marLeft w:val="0"/>
      <w:marRight w:val="0"/>
      <w:marTop w:val="0"/>
      <w:marBottom w:val="0"/>
      <w:divBdr>
        <w:top w:val="none" w:sz="0" w:space="0" w:color="auto"/>
        <w:left w:val="none" w:sz="0" w:space="0" w:color="auto"/>
        <w:bottom w:val="none" w:sz="0" w:space="0" w:color="auto"/>
        <w:right w:val="none" w:sz="0" w:space="0" w:color="auto"/>
      </w:divBdr>
    </w:div>
    <w:div w:id="1751735496">
      <w:bodyDiv w:val="1"/>
      <w:marLeft w:val="0"/>
      <w:marRight w:val="0"/>
      <w:marTop w:val="0"/>
      <w:marBottom w:val="0"/>
      <w:divBdr>
        <w:top w:val="none" w:sz="0" w:space="0" w:color="auto"/>
        <w:left w:val="none" w:sz="0" w:space="0" w:color="auto"/>
        <w:bottom w:val="none" w:sz="0" w:space="0" w:color="auto"/>
        <w:right w:val="none" w:sz="0" w:space="0" w:color="auto"/>
      </w:divBdr>
    </w:div>
    <w:div w:id="1858032929">
      <w:bodyDiv w:val="1"/>
      <w:marLeft w:val="0"/>
      <w:marRight w:val="0"/>
      <w:marTop w:val="0"/>
      <w:marBottom w:val="0"/>
      <w:divBdr>
        <w:top w:val="none" w:sz="0" w:space="0" w:color="auto"/>
        <w:left w:val="none" w:sz="0" w:space="0" w:color="auto"/>
        <w:bottom w:val="none" w:sz="0" w:space="0" w:color="auto"/>
        <w:right w:val="none" w:sz="0" w:space="0" w:color="auto"/>
      </w:divBdr>
    </w:div>
    <w:div w:id="1919905105">
      <w:bodyDiv w:val="1"/>
      <w:marLeft w:val="0"/>
      <w:marRight w:val="0"/>
      <w:marTop w:val="0"/>
      <w:marBottom w:val="0"/>
      <w:divBdr>
        <w:top w:val="none" w:sz="0" w:space="0" w:color="auto"/>
        <w:left w:val="none" w:sz="0" w:space="0" w:color="auto"/>
        <w:bottom w:val="none" w:sz="0" w:space="0" w:color="auto"/>
        <w:right w:val="none" w:sz="0" w:space="0" w:color="auto"/>
      </w:divBdr>
    </w:div>
    <w:div w:id="2048868231">
      <w:bodyDiv w:val="1"/>
      <w:marLeft w:val="0"/>
      <w:marRight w:val="0"/>
      <w:marTop w:val="0"/>
      <w:marBottom w:val="0"/>
      <w:divBdr>
        <w:top w:val="none" w:sz="0" w:space="0" w:color="auto"/>
        <w:left w:val="none" w:sz="0" w:space="0" w:color="auto"/>
        <w:bottom w:val="none" w:sz="0" w:space="0" w:color="auto"/>
        <w:right w:val="none" w:sz="0" w:space="0" w:color="auto"/>
      </w:divBdr>
    </w:div>
    <w:div w:id="2054231835">
      <w:bodyDiv w:val="1"/>
      <w:marLeft w:val="0"/>
      <w:marRight w:val="0"/>
      <w:marTop w:val="0"/>
      <w:marBottom w:val="0"/>
      <w:divBdr>
        <w:top w:val="none" w:sz="0" w:space="0" w:color="auto"/>
        <w:left w:val="none" w:sz="0" w:space="0" w:color="auto"/>
        <w:bottom w:val="none" w:sz="0" w:space="0" w:color="auto"/>
        <w:right w:val="none" w:sz="0" w:space="0" w:color="auto"/>
      </w:divBdr>
    </w:div>
    <w:div w:id="2088961336">
      <w:bodyDiv w:val="1"/>
      <w:marLeft w:val="0"/>
      <w:marRight w:val="0"/>
      <w:marTop w:val="0"/>
      <w:marBottom w:val="0"/>
      <w:divBdr>
        <w:top w:val="none" w:sz="0" w:space="0" w:color="auto"/>
        <w:left w:val="none" w:sz="0" w:space="0" w:color="auto"/>
        <w:bottom w:val="none" w:sz="0" w:space="0" w:color="auto"/>
        <w:right w:val="none" w:sz="0" w:space="0" w:color="auto"/>
      </w:divBdr>
    </w:div>
    <w:div w:id="2121874289">
      <w:bodyDiv w:val="1"/>
      <w:marLeft w:val="0"/>
      <w:marRight w:val="0"/>
      <w:marTop w:val="0"/>
      <w:marBottom w:val="0"/>
      <w:divBdr>
        <w:top w:val="none" w:sz="0" w:space="0" w:color="auto"/>
        <w:left w:val="none" w:sz="0" w:space="0" w:color="auto"/>
        <w:bottom w:val="none" w:sz="0" w:space="0" w:color="auto"/>
        <w:right w:val="none" w:sz="0" w:space="0" w:color="auto"/>
      </w:divBdr>
    </w:div>
    <w:div w:id="21226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grationpolicy.org/article/minimizing-development-induced-displacement" TargetMode="External"/><Relationship Id="rId12" Type="http://schemas.openxmlformats.org/officeDocument/2006/relationships/hyperlink" Target="http://www.forcedmigration.org/about/whatisf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nsr.jamesanaya.org/study/report-a-hrc-24-41-extractive-industries-and-indigenous-peoples-report-of-the-special-rapporteur-on-the-rights-of-indigenous-peoples" TargetMode="External"/><Relationship Id="rId9" Type="http://schemas.openxmlformats.org/officeDocument/2006/relationships/hyperlink" Target="http://www.forcedmigration.org/research-resources/expert-guides-Accessed%209/09/21" TargetMode="External"/><Relationship Id="rId10" Type="http://schemas.openxmlformats.org/officeDocument/2006/relationships/hyperlink" Target="http://www.case.edu/affil/tibet/booksAndPapers/pastoralis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grationpolicy.org/article/minimizing-development-induced-displacement" TargetMode="External"/><Relationship Id="rId4" Type="http://schemas.openxmlformats.org/officeDocument/2006/relationships/hyperlink" Target="http://unsr.jamesanaya.org/study/report-a-hrc-24-41-extractive-industries-and-indigenous-peoples-report-of-the-special-rapporteur-on-the-rights-of-indigenous-peoples" TargetMode="External"/><Relationship Id="rId1" Type="http://schemas.openxmlformats.org/officeDocument/2006/relationships/hyperlink" Target="http://www.case.edu/affil/tibet/booksAndPapers/pastoralism.html" TargetMode="External"/><Relationship Id="rId2" Type="http://schemas.openxmlformats.org/officeDocument/2006/relationships/hyperlink" Target="http://www.forcedmigration.org/about/whatis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27702-86DF-AB48-88DE-46D11FB5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21861</Words>
  <Characters>124612</Characters>
  <Application>Microsoft Macintosh Word</Application>
  <DocSecurity>0</DocSecurity>
  <Lines>1038</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uccadmin</dc:creator>
  <cp:lastModifiedBy>Michael Otto</cp:lastModifiedBy>
  <cp:revision>2</cp:revision>
  <dcterms:created xsi:type="dcterms:W3CDTF">2015-05-12T18:21:00Z</dcterms:created>
  <dcterms:modified xsi:type="dcterms:W3CDTF">2015-05-12T18:21:00Z</dcterms:modified>
</cp:coreProperties>
</file>